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C7A19" w14:textId="44FBC285" w:rsidR="00A81494" w:rsidRPr="00D72AEF" w:rsidRDefault="00A81494" w:rsidP="003A5AC0">
      <w:pPr>
        <w:pStyle w:val="ListParagraph"/>
        <w:numPr>
          <w:ilvl w:val="0"/>
          <w:numId w:val="1"/>
        </w:numPr>
        <w:ind w:left="0"/>
        <w:jc w:val="both"/>
        <w:rPr>
          <w:b/>
          <w:bCs/>
          <w:color w:val="434343"/>
          <w:u w:val="single"/>
        </w:rPr>
      </w:pPr>
      <w:r w:rsidRPr="00D72AEF">
        <w:rPr>
          <w:b/>
          <w:bCs/>
          <w:color w:val="434343"/>
          <w:u w:val="single"/>
        </w:rPr>
        <w:t>Summary of Changes and Review</w:t>
      </w:r>
    </w:p>
    <w:p w14:paraId="1F84D592" w14:textId="77777777" w:rsidR="00A81494" w:rsidRDefault="00A81494" w:rsidP="003A5AC0">
      <w:pPr>
        <w:jc w:val="both"/>
        <w:rPr>
          <w:color w:val="434343"/>
        </w:rPr>
      </w:pPr>
    </w:p>
    <w:tbl>
      <w:tblPr>
        <w:tblStyle w:val="TableGrid"/>
        <w:tblW w:w="0" w:type="auto"/>
        <w:tblLook w:val="04A0" w:firstRow="1" w:lastRow="0" w:firstColumn="1" w:lastColumn="0" w:noHBand="0" w:noVBand="1"/>
      </w:tblPr>
      <w:tblGrid>
        <w:gridCol w:w="1035"/>
        <w:gridCol w:w="1794"/>
        <w:gridCol w:w="1126"/>
        <w:gridCol w:w="1321"/>
        <w:gridCol w:w="3740"/>
      </w:tblGrid>
      <w:tr w:rsidR="006E4CA9" w14:paraId="552FCD45" w14:textId="77777777" w:rsidTr="00FB31EC">
        <w:tc>
          <w:tcPr>
            <w:tcW w:w="1035" w:type="dxa"/>
            <w:shd w:val="clear" w:color="auto" w:fill="B49C7A"/>
          </w:tcPr>
          <w:p w14:paraId="4601F644" w14:textId="77777777" w:rsidR="00A81494" w:rsidRPr="003B1361" w:rsidRDefault="00A81494" w:rsidP="003A5AC0">
            <w:pPr>
              <w:jc w:val="both"/>
              <w:rPr>
                <w:b/>
                <w:bCs/>
                <w:color w:val="FFFFFF" w:themeColor="background1"/>
              </w:rPr>
            </w:pPr>
            <w:r w:rsidRPr="003B1361">
              <w:rPr>
                <w:b/>
                <w:bCs/>
                <w:color w:val="FFFFFF" w:themeColor="background1"/>
              </w:rPr>
              <w:t>Version Number</w:t>
            </w:r>
          </w:p>
        </w:tc>
        <w:tc>
          <w:tcPr>
            <w:tcW w:w="1794" w:type="dxa"/>
            <w:shd w:val="clear" w:color="auto" w:fill="B49C7A"/>
          </w:tcPr>
          <w:p w14:paraId="54515955" w14:textId="77777777" w:rsidR="00A81494" w:rsidRPr="003B1361" w:rsidRDefault="00A81494" w:rsidP="003A5AC0">
            <w:pPr>
              <w:jc w:val="both"/>
              <w:rPr>
                <w:b/>
                <w:bCs/>
                <w:color w:val="FFFFFF" w:themeColor="background1"/>
              </w:rPr>
            </w:pPr>
            <w:r w:rsidRPr="003B1361">
              <w:rPr>
                <w:b/>
                <w:bCs/>
                <w:color w:val="FFFFFF" w:themeColor="background1"/>
              </w:rPr>
              <w:t>Date of Change/Review</w:t>
            </w:r>
          </w:p>
        </w:tc>
        <w:tc>
          <w:tcPr>
            <w:tcW w:w="1126" w:type="dxa"/>
            <w:shd w:val="clear" w:color="auto" w:fill="B49C7A"/>
          </w:tcPr>
          <w:p w14:paraId="4FDCE86C" w14:textId="77777777" w:rsidR="00A81494" w:rsidRPr="003B1361" w:rsidRDefault="00A81494" w:rsidP="003A5AC0">
            <w:pPr>
              <w:jc w:val="both"/>
              <w:rPr>
                <w:b/>
                <w:bCs/>
                <w:color w:val="FFFFFF" w:themeColor="background1"/>
              </w:rPr>
            </w:pPr>
            <w:r w:rsidRPr="003B1361">
              <w:rPr>
                <w:b/>
                <w:bCs/>
                <w:color w:val="FFFFFF" w:themeColor="background1"/>
              </w:rPr>
              <w:t>Review / Changes Made By</w:t>
            </w:r>
          </w:p>
        </w:tc>
        <w:tc>
          <w:tcPr>
            <w:tcW w:w="1321" w:type="dxa"/>
            <w:shd w:val="clear" w:color="auto" w:fill="B49C7A"/>
          </w:tcPr>
          <w:p w14:paraId="68CD4934" w14:textId="77777777" w:rsidR="00A81494" w:rsidRPr="003B1361" w:rsidRDefault="00A81494" w:rsidP="003A5AC0">
            <w:pPr>
              <w:jc w:val="both"/>
              <w:rPr>
                <w:b/>
                <w:bCs/>
                <w:color w:val="FFFFFF" w:themeColor="background1"/>
              </w:rPr>
            </w:pPr>
            <w:r w:rsidRPr="003B1361">
              <w:rPr>
                <w:b/>
                <w:bCs/>
                <w:color w:val="FFFFFF" w:themeColor="background1"/>
              </w:rPr>
              <w:t>Authorised By</w:t>
            </w:r>
          </w:p>
        </w:tc>
        <w:tc>
          <w:tcPr>
            <w:tcW w:w="3740" w:type="dxa"/>
            <w:shd w:val="clear" w:color="auto" w:fill="B49C7A"/>
          </w:tcPr>
          <w:p w14:paraId="267E4528" w14:textId="77777777" w:rsidR="00A81494" w:rsidRPr="003B1361" w:rsidRDefault="00A81494" w:rsidP="003A5AC0">
            <w:pPr>
              <w:jc w:val="both"/>
              <w:rPr>
                <w:b/>
                <w:bCs/>
                <w:color w:val="FFFFFF" w:themeColor="background1"/>
              </w:rPr>
            </w:pPr>
            <w:r w:rsidRPr="003B1361">
              <w:rPr>
                <w:b/>
                <w:bCs/>
                <w:color w:val="FFFFFF" w:themeColor="background1"/>
              </w:rPr>
              <w:t>Description of Changes/Review</w:t>
            </w:r>
          </w:p>
        </w:tc>
      </w:tr>
      <w:tr w:rsidR="00A81494" w14:paraId="1213889B" w14:textId="77777777" w:rsidTr="00FB31EC">
        <w:tc>
          <w:tcPr>
            <w:tcW w:w="1035" w:type="dxa"/>
          </w:tcPr>
          <w:p w14:paraId="25E2C3AF" w14:textId="77777777" w:rsidR="00A81494" w:rsidRPr="00982C05" w:rsidRDefault="00A81494" w:rsidP="003A5AC0">
            <w:pPr>
              <w:jc w:val="both"/>
              <w:rPr>
                <w:color w:val="434343"/>
              </w:rPr>
            </w:pPr>
            <w:r w:rsidRPr="00982C05">
              <w:rPr>
                <w:color w:val="434343"/>
              </w:rPr>
              <w:t>1</w:t>
            </w:r>
          </w:p>
        </w:tc>
        <w:tc>
          <w:tcPr>
            <w:tcW w:w="1794" w:type="dxa"/>
          </w:tcPr>
          <w:p w14:paraId="0779CE78" w14:textId="3DAEB3A1" w:rsidR="00A81494" w:rsidRPr="00982C05" w:rsidRDefault="00A81494" w:rsidP="003A5AC0">
            <w:pPr>
              <w:jc w:val="both"/>
              <w:rPr>
                <w:color w:val="434343"/>
              </w:rPr>
            </w:pPr>
            <w:r w:rsidRPr="00982C05">
              <w:rPr>
                <w:color w:val="434343"/>
              </w:rPr>
              <w:t xml:space="preserve">1 </w:t>
            </w:r>
            <w:r w:rsidR="00982C05" w:rsidRPr="00982C05">
              <w:rPr>
                <w:color w:val="434343"/>
              </w:rPr>
              <w:t xml:space="preserve">Nov </w:t>
            </w:r>
            <w:r w:rsidRPr="00982C05">
              <w:rPr>
                <w:color w:val="434343"/>
              </w:rPr>
              <w:t>2023</w:t>
            </w:r>
          </w:p>
        </w:tc>
        <w:tc>
          <w:tcPr>
            <w:tcW w:w="1126" w:type="dxa"/>
          </w:tcPr>
          <w:p w14:paraId="66F2866B" w14:textId="034234AF" w:rsidR="00A81494" w:rsidRPr="00982C05" w:rsidRDefault="006E4CA9" w:rsidP="003A5AC0">
            <w:pPr>
              <w:jc w:val="both"/>
              <w:rPr>
                <w:color w:val="434343"/>
              </w:rPr>
            </w:pPr>
            <w:r>
              <w:rPr>
                <w:color w:val="434343"/>
              </w:rPr>
              <w:t>L. Barker</w:t>
            </w:r>
          </w:p>
        </w:tc>
        <w:tc>
          <w:tcPr>
            <w:tcW w:w="1321" w:type="dxa"/>
          </w:tcPr>
          <w:p w14:paraId="1F6EEC4E" w14:textId="77777777" w:rsidR="00A81494" w:rsidRDefault="006E4CA9" w:rsidP="003A5AC0">
            <w:pPr>
              <w:jc w:val="both"/>
              <w:rPr>
                <w:color w:val="434343"/>
              </w:rPr>
            </w:pPr>
            <w:r>
              <w:rPr>
                <w:color w:val="434343"/>
              </w:rPr>
              <w:t>L. Barker</w:t>
            </w:r>
          </w:p>
          <w:p w14:paraId="011B92E3" w14:textId="0DA0D607" w:rsidR="006E4CA9" w:rsidRPr="00982C05" w:rsidRDefault="006E4CA9" w:rsidP="003A5AC0">
            <w:pPr>
              <w:jc w:val="both"/>
              <w:rPr>
                <w:color w:val="434343"/>
              </w:rPr>
            </w:pPr>
            <w:r>
              <w:rPr>
                <w:color w:val="434343"/>
              </w:rPr>
              <w:t>M. Parker</w:t>
            </w:r>
          </w:p>
        </w:tc>
        <w:tc>
          <w:tcPr>
            <w:tcW w:w="3740" w:type="dxa"/>
          </w:tcPr>
          <w:p w14:paraId="19DEC40B" w14:textId="12359FC8" w:rsidR="00A81494" w:rsidRPr="00982C05" w:rsidRDefault="00982C05" w:rsidP="003A5AC0">
            <w:pPr>
              <w:jc w:val="both"/>
              <w:rPr>
                <w:color w:val="434343"/>
              </w:rPr>
            </w:pPr>
            <w:r>
              <w:rPr>
                <w:color w:val="434343"/>
              </w:rPr>
              <w:t>First version of the Policy.</w:t>
            </w:r>
          </w:p>
        </w:tc>
      </w:tr>
      <w:tr w:rsidR="00362B8A" w14:paraId="1EBAB21C" w14:textId="77777777" w:rsidTr="00FB31EC">
        <w:tc>
          <w:tcPr>
            <w:tcW w:w="1035" w:type="dxa"/>
          </w:tcPr>
          <w:p w14:paraId="126C608A" w14:textId="33E1C68B" w:rsidR="00362B8A" w:rsidRDefault="00362B8A" w:rsidP="00362B8A">
            <w:pPr>
              <w:jc w:val="both"/>
              <w:rPr>
                <w:color w:val="434343"/>
              </w:rPr>
            </w:pPr>
            <w:r>
              <w:rPr>
                <w:color w:val="434343"/>
              </w:rPr>
              <w:t>2</w:t>
            </w:r>
          </w:p>
        </w:tc>
        <w:tc>
          <w:tcPr>
            <w:tcW w:w="1794" w:type="dxa"/>
          </w:tcPr>
          <w:p w14:paraId="62C04F22" w14:textId="1CFCB4D0" w:rsidR="00362B8A" w:rsidRDefault="00362B8A" w:rsidP="00362B8A">
            <w:pPr>
              <w:jc w:val="both"/>
              <w:rPr>
                <w:color w:val="434343"/>
              </w:rPr>
            </w:pPr>
            <w:r>
              <w:rPr>
                <w:color w:val="434343"/>
              </w:rPr>
              <w:t>10 Dec 2023</w:t>
            </w:r>
          </w:p>
        </w:tc>
        <w:tc>
          <w:tcPr>
            <w:tcW w:w="1126" w:type="dxa"/>
          </w:tcPr>
          <w:p w14:paraId="06A8A801" w14:textId="56B17F0A" w:rsidR="00362B8A" w:rsidRDefault="00362B8A" w:rsidP="00362B8A">
            <w:pPr>
              <w:jc w:val="both"/>
              <w:rPr>
                <w:color w:val="434343"/>
              </w:rPr>
            </w:pPr>
            <w:r>
              <w:rPr>
                <w:color w:val="434343"/>
              </w:rPr>
              <w:t>L. Barker</w:t>
            </w:r>
          </w:p>
        </w:tc>
        <w:tc>
          <w:tcPr>
            <w:tcW w:w="1321" w:type="dxa"/>
          </w:tcPr>
          <w:p w14:paraId="72638DC7" w14:textId="77777777" w:rsidR="00362B8A" w:rsidRDefault="00362B8A" w:rsidP="00362B8A">
            <w:pPr>
              <w:jc w:val="both"/>
              <w:rPr>
                <w:color w:val="434343"/>
              </w:rPr>
            </w:pPr>
            <w:r>
              <w:rPr>
                <w:color w:val="434343"/>
              </w:rPr>
              <w:t>L. Barker</w:t>
            </w:r>
          </w:p>
          <w:p w14:paraId="0F41E5AA" w14:textId="704301C1" w:rsidR="00362B8A" w:rsidRDefault="00362B8A" w:rsidP="00362B8A">
            <w:pPr>
              <w:jc w:val="both"/>
              <w:rPr>
                <w:color w:val="434343"/>
              </w:rPr>
            </w:pPr>
            <w:r>
              <w:rPr>
                <w:color w:val="434343"/>
              </w:rPr>
              <w:t>M. Parker</w:t>
            </w:r>
          </w:p>
        </w:tc>
        <w:tc>
          <w:tcPr>
            <w:tcW w:w="3740" w:type="dxa"/>
          </w:tcPr>
          <w:p w14:paraId="6E14602E" w14:textId="20E1E6A4" w:rsidR="00362B8A" w:rsidRDefault="00362B8A" w:rsidP="00362B8A">
            <w:pPr>
              <w:jc w:val="both"/>
              <w:rPr>
                <w:color w:val="434343"/>
              </w:rPr>
            </w:pPr>
            <w:r>
              <w:rPr>
                <w:color w:val="434343"/>
              </w:rPr>
              <w:t xml:space="preserve">Amended to include how a learner may escalate an appeal to the </w:t>
            </w:r>
            <w:r w:rsidR="003737BB">
              <w:rPr>
                <w:color w:val="434343"/>
              </w:rPr>
              <w:t xml:space="preserve">Awarding Organisation and </w:t>
            </w:r>
            <w:r>
              <w:rPr>
                <w:color w:val="434343"/>
              </w:rPr>
              <w:t>Qualification Regulator (Section 3.</w:t>
            </w:r>
            <w:r w:rsidR="009640A2">
              <w:rPr>
                <w:color w:val="434343"/>
              </w:rPr>
              <w:t>3</w:t>
            </w:r>
            <w:r>
              <w:rPr>
                <w:color w:val="434343"/>
              </w:rPr>
              <w:t>)</w:t>
            </w:r>
          </w:p>
        </w:tc>
      </w:tr>
      <w:tr w:rsidR="00362B8A" w14:paraId="0447FC55" w14:textId="77777777" w:rsidTr="00FB31EC">
        <w:tc>
          <w:tcPr>
            <w:tcW w:w="1035" w:type="dxa"/>
          </w:tcPr>
          <w:p w14:paraId="7B4F9723" w14:textId="27C2AFDB" w:rsidR="00362B8A" w:rsidRDefault="00D95925" w:rsidP="00362B8A">
            <w:pPr>
              <w:jc w:val="both"/>
              <w:rPr>
                <w:color w:val="434343"/>
              </w:rPr>
            </w:pPr>
            <w:r>
              <w:rPr>
                <w:color w:val="434343"/>
              </w:rPr>
              <w:t>3</w:t>
            </w:r>
          </w:p>
        </w:tc>
        <w:tc>
          <w:tcPr>
            <w:tcW w:w="1794" w:type="dxa"/>
          </w:tcPr>
          <w:p w14:paraId="3766180B" w14:textId="0D4ED5B8" w:rsidR="00362B8A" w:rsidRDefault="00D95925" w:rsidP="00362B8A">
            <w:pPr>
              <w:jc w:val="both"/>
              <w:rPr>
                <w:color w:val="434343"/>
              </w:rPr>
            </w:pPr>
            <w:r>
              <w:rPr>
                <w:color w:val="434343"/>
              </w:rPr>
              <w:t>1 Jul 2025</w:t>
            </w:r>
          </w:p>
        </w:tc>
        <w:tc>
          <w:tcPr>
            <w:tcW w:w="1126" w:type="dxa"/>
          </w:tcPr>
          <w:p w14:paraId="62B54146" w14:textId="263FE33D" w:rsidR="00362B8A" w:rsidRDefault="00D95925" w:rsidP="00362B8A">
            <w:pPr>
              <w:jc w:val="both"/>
              <w:rPr>
                <w:color w:val="434343"/>
              </w:rPr>
            </w:pPr>
            <w:r>
              <w:rPr>
                <w:color w:val="434343"/>
              </w:rPr>
              <w:t>L. Barker</w:t>
            </w:r>
          </w:p>
        </w:tc>
        <w:tc>
          <w:tcPr>
            <w:tcW w:w="1321" w:type="dxa"/>
          </w:tcPr>
          <w:p w14:paraId="792AE0F2" w14:textId="77777777" w:rsidR="00D95925" w:rsidRDefault="00D95925" w:rsidP="00D95925">
            <w:pPr>
              <w:jc w:val="both"/>
              <w:rPr>
                <w:color w:val="434343"/>
              </w:rPr>
            </w:pPr>
            <w:r>
              <w:rPr>
                <w:color w:val="434343"/>
              </w:rPr>
              <w:t>L. Barker</w:t>
            </w:r>
          </w:p>
          <w:p w14:paraId="5E960E1E" w14:textId="7D04AF0D" w:rsidR="00362B8A" w:rsidRDefault="00D95925" w:rsidP="00D95925">
            <w:pPr>
              <w:jc w:val="both"/>
              <w:rPr>
                <w:color w:val="434343"/>
              </w:rPr>
            </w:pPr>
            <w:r>
              <w:rPr>
                <w:color w:val="434343"/>
              </w:rPr>
              <w:t>M. Parker</w:t>
            </w:r>
          </w:p>
        </w:tc>
        <w:tc>
          <w:tcPr>
            <w:tcW w:w="3740" w:type="dxa"/>
          </w:tcPr>
          <w:p w14:paraId="3DA8801F" w14:textId="5CB82E02" w:rsidR="00362B8A" w:rsidRDefault="00D95925" w:rsidP="00362B8A">
            <w:pPr>
              <w:jc w:val="both"/>
              <w:rPr>
                <w:color w:val="434343"/>
              </w:rPr>
            </w:pPr>
            <w:r>
              <w:rPr>
                <w:color w:val="434343"/>
              </w:rPr>
              <w:t>Amended to include RLSS as an awarding body</w:t>
            </w:r>
            <w:r w:rsidR="00803DF5">
              <w:rPr>
                <w:color w:val="434343"/>
              </w:rPr>
              <w:t xml:space="preserve"> (Section 3.4).</w:t>
            </w:r>
          </w:p>
        </w:tc>
      </w:tr>
      <w:tr w:rsidR="00362B8A" w14:paraId="0CA24C13" w14:textId="77777777" w:rsidTr="00FB31EC">
        <w:tc>
          <w:tcPr>
            <w:tcW w:w="1035" w:type="dxa"/>
          </w:tcPr>
          <w:p w14:paraId="58A7FEE7" w14:textId="77777777" w:rsidR="00362B8A" w:rsidRDefault="00362B8A" w:rsidP="00362B8A">
            <w:pPr>
              <w:jc w:val="both"/>
              <w:rPr>
                <w:color w:val="434343"/>
              </w:rPr>
            </w:pPr>
          </w:p>
        </w:tc>
        <w:tc>
          <w:tcPr>
            <w:tcW w:w="1794" w:type="dxa"/>
          </w:tcPr>
          <w:p w14:paraId="3FEABC55" w14:textId="77777777" w:rsidR="00362B8A" w:rsidRDefault="00362B8A" w:rsidP="00362B8A">
            <w:pPr>
              <w:jc w:val="both"/>
              <w:rPr>
                <w:color w:val="434343"/>
              </w:rPr>
            </w:pPr>
          </w:p>
        </w:tc>
        <w:tc>
          <w:tcPr>
            <w:tcW w:w="1126" w:type="dxa"/>
          </w:tcPr>
          <w:p w14:paraId="2B47EF9B" w14:textId="77777777" w:rsidR="00362B8A" w:rsidRDefault="00362B8A" w:rsidP="00362B8A">
            <w:pPr>
              <w:jc w:val="both"/>
              <w:rPr>
                <w:color w:val="434343"/>
              </w:rPr>
            </w:pPr>
          </w:p>
        </w:tc>
        <w:tc>
          <w:tcPr>
            <w:tcW w:w="1321" w:type="dxa"/>
          </w:tcPr>
          <w:p w14:paraId="01BFE847" w14:textId="77777777" w:rsidR="00362B8A" w:rsidRDefault="00362B8A" w:rsidP="00362B8A">
            <w:pPr>
              <w:jc w:val="both"/>
              <w:rPr>
                <w:color w:val="434343"/>
              </w:rPr>
            </w:pPr>
          </w:p>
        </w:tc>
        <w:tc>
          <w:tcPr>
            <w:tcW w:w="3740" w:type="dxa"/>
          </w:tcPr>
          <w:p w14:paraId="3A3E8C8A" w14:textId="77777777" w:rsidR="00362B8A" w:rsidRDefault="00362B8A" w:rsidP="00362B8A">
            <w:pPr>
              <w:jc w:val="both"/>
              <w:rPr>
                <w:color w:val="434343"/>
              </w:rPr>
            </w:pPr>
          </w:p>
        </w:tc>
      </w:tr>
    </w:tbl>
    <w:p w14:paraId="494D3963" w14:textId="77777777" w:rsidR="00A81494" w:rsidRDefault="00A81494" w:rsidP="003A5AC0">
      <w:pPr>
        <w:jc w:val="both"/>
        <w:rPr>
          <w:b/>
          <w:bCs/>
          <w:color w:val="434343"/>
          <w:u w:val="single"/>
        </w:rPr>
      </w:pPr>
    </w:p>
    <w:p w14:paraId="5FB7FC49" w14:textId="0A70779D" w:rsidR="000B755E" w:rsidRPr="009F5FC5" w:rsidRDefault="000B755E" w:rsidP="003A5AC0">
      <w:pPr>
        <w:pStyle w:val="ListParagraph"/>
        <w:numPr>
          <w:ilvl w:val="0"/>
          <w:numId w:val="1"/>
        </w:numPr>
        <w:ind w:left="0"/>
        <w:jc w:val="both"/>
        <w:rPr>
          <w:b/>
          <w:bCs/>
          <w:color w:val="434343"/>
          <w:u w:val="single"/>
        </w:rPr>
      </w:pPr>
      <w:r w:rsidRPr="009F5FC5">
        <w:rPr>
          <w:b/>
          <w:bCs/>
          <w:color w:val="434343"/>
          <w:u w:val="single"/>
        </w:rPr>
        <w:t>Purpose and Scope</w:t>
      </w:r>
    </w:p>
    <w:p w14:paraId="30566499" w14:textId="77777777" w:rsidR="000B755E" w:rsidRPr="009F5FC5" w:rsidRDefault="000B755E" w:rsidP="003A5AC0">
      <w:pPr>
        <w:jc w:val="both"/>
        <w:rPr>
          <w:color w:val="434343"/>
        </w:rPr>
      </w:pPr>
    </w:p>
    <w:p w14:paraId="03388887" w14:textId="370F9E08" w:rsidR="009826C3" w:rsidRPr="009F5FC5" w:rsidRDefault="009826C3" w:rsidP="009F5FC5">
      <w:pPr>
        <w:spacing w:after="240"/>
        <w:jc w:val="both"/>
        <w:rPr>
          <w:color w:val="434343"/>
        </w:rPr>
      </w:pPr>
      <w:r w:rsidRPr="009F5FC5">
        <w:rPr>
          <w:color w:val="434343"/>
        </w:rPr>
        <w:t xml:space="preserve">This policy </w:t>
      </w:r>
      <w:r w:rsidR="004B1E45" w:rsidRPr="009F5FC5">
        <w:rPr>
          <w:color w:val="434343"/>
        </w:rPr>
        <w:t>aims</w:t>
      </w:r>
      <w:r w:rsidRPr="009F5FC5">
        <w:rPr>
          <w:color w:val="434343"/>
        </w:rPr>
        <w:t xml:space="preserve"> to ensure</w:t>
      </w:r>
      <w:r w:rsidR="00A12297">
        <w:rPr>
          <w:color w:val="434343"/>
        </w:rPr>
        <w:t xml:space="preserve"> The Arker Group Ltd (the Company)</w:t>
      </w:r>
      <w:r w:rsidRPr="009F5FC5">
        <w:rPr>
          <w:color w:val="434343"/>
        </w:rPr>
        <w:t xml:space="preserve"> learners</w:t>
      </w:r>
      <w:r w:rsidR="004858C0">
        <w:rPr>
          <w:color w:val="434343"/>
        </w:rPr>
        <w:t>,</w:t>
      </w:r>
      <w:r w:rsidRPr="009F5FC5">
        <w:rPr>
          <w:color w:val="434343"/>
        </w:rPr>
        <w:t xml:space="preserve"> trainers</w:t>
      </w:r>
      <w:r w:rsidR="004858C0">
        <w:rPr>
          <w:color w:val="434343"/>
        </w:rPr>
        <w:t>, assessors and internal quality assurers</w:t>
      </w:r>
      <w:r w:rsidRPr="009F5FC5">
        <w:rPr>
          <w:color w:val="434343"/>
        </w:rPr>
        <w:t xml:space="preserve"> understand </w:t>
      </w:r>
      <w:r w:rsidR="00B639C7">
        <w:rPr>
          <w:color w:val="434343"/>
        </w:rPr>
        <w:t>the</w:t>
      </w:r>
      <w:r w:rsidRPr="009F5FC5">
        <w:rPr>
          <w:color w:val="434343"/>
        </w:rPr>
        <w:t xml:space="preserve"> appeal</w:t>
      </w:r>
      <w:r w:rsidR="00B639C7">
        <w:rPr>
          <w:color w:val="434343"/>
        </w:rPr>
        <w:t>s process regarding</w:t>
      </w:r>
      <w:r w:rsidRPr="009F5FC5">
        <w:rPr>
          <w:color w:val="434343"/>
        </w:rPr>
        <w:t xml:space="preserve"> a decision made </w:t>
      </w:r>
      <w:r w:rsidR="00B639C7">
        <w:rPr>
          <w:color w:val="434343"/>
        </w:rPr>
        <w:t xml:space="preserve">in relation </w:t>
      </w:r>
      <w:r w:rsidRPr="009F5FC5">
        <w:rPr>
          <w:color w:val="434343"/>
        </w:rPr>
        <w:t xml:space="preserve">to an outcome </w:t>
      </w:r>
      <w:r w:rsidR="00551280" w:rsidRPr="009F5FC5">
        <w:rPr>
          <w:color w:val="434343"/>
        </w:rPr>
        <w:t xml:space="preserve">of assessment provided </w:t>
      </w:r>
      <w:r w:rsidRPr="009F5FC5">
        <w:rPr>
          <w:color w:val="434343"/>
        </w:rPr>
        <w:t>during training. This could be the result of a:</w:t>
      </w:r>
    </w:p>
    <w:p w14:paraId="2ADA5DDD" w14:textId="75DFEDF4" w:rsidR="009826C3" w:rsidRPr="009F5FC5" w:rsidRDefault="009826C3" w:rsidP="009F5FC5">
      <w:pPr>
        <w:pStyle w:val="ListParagraph"/>
        <w:numPr>
          <w:ilvl w:val="0"/>
          <w:numId w:val="13"/>
        </w:numPr>
        <w:jc w:val="both"/>
        <w:rPr>
          <w:color w:val="434343"/>
        </w:rPr>
      </w:pPr>
      <w:r w:rsidRPr="009F5FC5">
        <w:rPr>
          <w:color w:val="434343"/>
        </w:rPr>
        <w:t>Practical assessment</w:t>
      </w:r>
      <w:r w:rsidR="00C76C20">
        <w:rPr>
          <w:color w:val="434343"/>
        </w:rPr>
        <w:t>.</w:t>
      </w:r>
    </w:p>
    <w:p w14:paraId="164FB152" w14:textId="5D1B2825" w:rsidR="009826C3" w:rsidRPr="009F5FC5" w:rsidRDefault="009826C3" w:rsidP="009F5FC5">
      <w:pPr>
        <w:pStyle w:val="ListParagraph"/>
        <w:numPr>
          <w:ilvl w:val="0"/>
          <w:numId w:val="13"/>
        </w:numPr>
        <w:jc w:val="both"/>
        <w:rPr>
          <w:color w:val="434343"/>
        </w:rPr>
      </w:pPr>
      <w:r w:rsidRPr="009F5FC5">
        <w:rPr>
          <w:color w:val="434343"/>
        </w:rPr>
        <w:t>Exam</w:t>
      </w:r>
      <w:r w:rsidR="00C76C20">
        <w:rPr>
          <w:color w:val="434343"/>
        </w:rPr>
        <w:t>.</w:t>
      </w:r>
    </w:p>
    <w:p w14:paraId="0A524C97" w14:textId="632D54CD" w:rsidR="009826C3" w:rsidRPr="009F5FC5" w:rsidRDefault="009826C3" w:rsidP="009F5FC5">
      <w:pPr>
        <w:pStyle w:val="ListParagraph"/>
        <w:numPr>
          <w:ilvl w:val="0"/>
          <w:numId w:val="13"/>
        </w:numPr>
        <w:jc w:val="both"/>
        <w:rPr>
          <w:color w:val="434343"/>
        </w:rPr>
      </w:pPr>
      <w:r w:rsidRPr="009F5FC5">
        <w:rPr>
          <w:color w:val="434343"/>
        </w:rPr>
        <w:t>Course work</w:t>
      </w:r>
      <w:r w:rsidR="00C76C20">
        <w:rPr>
          <w:color w:val="434343"/>
        </w:rPr>
        <w:t>.</w:t>
      </w:r>
    </w:p>
    <w:p w14:paraId="1251005E" w14:textId="77777777" w:rsidR="009826C3" w:rsidRPr="009F5FC5" w:rsidRDefault="009826C3" w:rsidP="00E71DE5">
      <w:pPr>
        <w:jc w:val="both"/>
        <w:rPr>
          <w:color w:val="434343"/>
        </w:rPr>
      </w:pPr>
    </w:p>
    <w:p w14:paraId="4887E2E0" w14:textId="77777777" w:rsidR="009826C3" w:rsidRPr="009F5FC5" w:rsidRDefault="009826C3" w:rsidP="00E71DE5">
      <w:pPr>
        <w:jc w:val="both"/>
        <w:rPr>
          <w:color w:val="434343"/>
        </w:rPr>
      </w:pPr>
      <w:r w:rsidRPr="009F5FC5">
        <w:rPr>
          <w:color w:val="434343"/>
        </w:rPr>
        <w:t xml:space="preserve">It is important that all staff or others involved in the management, delivery, assessment and quality assurance of our qualifications and learners are aware of and understand the contents of the policy.  </w:t>
      </w:r>
    </w:p>
    <w:p w14:paraId="7CC71075" w14:textId="77777777" w:rsidR="009826C3" w:rsidRPr="009826C3" w:rsidRDefault="009826C3" w:rsidP="009826C3">
      <w:pPr>
        <w:pStyle w:val="ListParagraph"/>
        <w:jc w:val="both"/>
        <w:rPr>
          <w:color w:val="434343"/>
        </w:rPr>
      </w:pPr>
    </w:p>
    <w:p w14:paraId="2BCC5200" w14:textId="4833E7F2" w:rsidR="000B755E" w:rsidRPr="00D72AEF" w:rsidRDefault="000B755E" w:rsidP="000F643E">
      <w:pPr>
        <w:pStyle w:val="ListParagraph"/>
        <w:numPr>
          <w:ilvl w:val="0"/>
          <w:numId w:val="12"/>
        </w:numPr>
        <w:ind w:left="0"/>
        <w:jc w:val="both"/>
        <w:rPr>
          <w:b/>
          <w:bCs/>
          <w:color w:val="434343"/>
          <w:u w:val="single"/>
        </w:rPr>
      </w:pPr>
      <w:r w:rsidRPr="00D72AEF">
        <w:rPr>
          <w:b/>
          <w:bCs/>
          <w:color w:val="434343"/>
          <w:u w:val="single"/>
        </w:rPr>
        <w:t>Reference Documents</w:t>
      </w:r>
    </w:p>
    <w:p w14:paraId="58728BC9" w14:textId="77777777" w:rsidR="000B755E" w:rsidRDefault="000B755E" w:rsidP="003A5AC0">
      <w:pPr>
        <w:jc w:val="both"/>
        <w:rPr>
          <w:color w:val="434343"/>
        </w:rPr>
      </w:pPr>
    </w:p>
    <w:p w14:paraId="363B0822" w14:textId="7A11FC05" w:rsidR="00E97A74" w:rsidRPr="00E97A74" w:rsidRDefault="00E97A74" w:rsidP="00E97A74">
      <w:pPr>
        <w:pStyle w:val="ListParagraph"/>
        <w:numPr>
          <w:ilvl w:val="0"/>
          <w:numId w:val="3"/>
        </w:numPr>
        <w:jc w:val="both"/>
        <w:rPr>
          <w:color w:val="434343"/>
        </w:rPr>
      </w:pPr>
      <w:r w:rsidRPr="00C376B9">
        <w:rPr>
          <w:color w:val="434343"/>
        </w:rPr>
        <w:t xml:space="preserve">The Arker Group Ltd – </w:t>
      </w:r>
      <w:r>
        <w:rPr>
          <w:color w:val="434343"/>
        </w:rPr>
        <w:t>Complaints</w:t>
      </w:r>
      <w:r w:rsidRPr="00C376B9">
        <w:rPr>
          <w:color w:val="434343"/>
        </w:rPr>
        <w:t xml:space="preserve"> Policy</w:t>
      </w:r>
      <w:r>
        <w:rPr>
          <w:color w:val="434343"/>
        </w:rPr>
        <w:t>.</w:t>
      </w:r>
    </w:p>
    <w:p w14:paraId="4327FA12" w14:textId="014459F0" w:rsidR="00750CE1" w:rsidRDefault="00750CE1" w:rsidP="003A5AC0">
      <w:pPr>
        <w:pStyle w:val="ListParagraph"/>
        <w:numPr>
          <w:ilvl w:val="0"/>
          <w:numId w:val="3"/>
        </w:numPr>
        <w:jc w:val="both"/>
        <w:rPr>
          <w:color w:val="434343"/>
        </w:rPr>
      </w:pPr>
      <w:r>
        <w:rPr>
          <w:color w:val="434343"/>
        </w:rPr>
        <w:t>The Arker Group Ltd – Health, Safety and Welfare Policy</w:t>
      </w:r>
      <w:r w:rsidR="0059427B">
        <w:rPr>
          <w:color w:val="434343"/>
        </w:rPr>
        <w:t>.</w:t>
      </w:r>
    </w:p>
    <w:p w14:paraId="0C146ECE" w14:textId="7864F237" w:rsidR="0059427B" w:rsidRPr="00C376B9" w:rsidRDefault="0059427B" w:rsidP="003A5AC0">
      <w:pPr>
        <w:pStyle w:val="ListParagraph"/>
        <w:numPr>
          <w:ilvl w:val="0"/>
          <w:numId w:val="3"/>
        </w:numPr>
        <w:jc w:val="both"/>
        <w:rPr>
          <w:color w:val="434343"/>
        </w:rPr>
      </w:pPr>
      <w:r>
        <w:rPr>
          <w:color w:val="434343"/>
        </w:rPr>
        <w:t xml:space="preserve">Awarding Body and Regulator </w:t>
      </w:r>
      <w:r w:rsidR="0084149E">
        <w:rPr>
          <w:color w:val="434343"/>
        </w:rPr>
        <w:t>Appeals Polic</w:t>
      </w:r>
      <w:r w:rsidR="00D04F22">
        <w:rPr>
          <w:color w:val="434343"/>
        </w:rPr>
        <w:t>ies</w:t>
      </w:r>
      <w:r>
        <w:rPr>
          <w:color w:val="434343"/>
        </w:rPr>
        <w:t>.</w:t>
      </w:r>
    </w:p>
    <w:p w14:paraId="0879B4DF" w14:textId="77777777" w:rsidR="00A81494" w:rsidRDefault="00A81494" w:rsidP="003A5AC0">
      <w:pPr>
        <w:jc w:val="both"/>
      </w:pPr>
    </w:p>
    <w:p w14:paraId="29CE7532" w14:textId="41ECCA71" w:rsidR="00400808" w:rsidRPr="00026C01" w:rsidRDefault="00D72AEF" w:rsidP="00026C01">
      <w:pPr>
        <w:pStyle w:val="ListParagraph"/>
        <w:numPr>
          <w:ilvl w:val="0"/>
          <w:numId w:val="12"/>
        </w:numPr>
        <w:spacing w:after="240"/>
        <w:ind w:left="0"/>
        <w:jc w:val="both"/>
      </w:pPr>
      <w:r>
        <w:rPr>
          <w:b/>
          <w:bCs/>
          <w:color w:val="434343"/>
          <w:u w:val="single"/>
        </w:rPr>
        <w:t>Policy</w:t>
      </w:r>
    </w:p>
    <w:p w14:paraId="51FB70F6" w14:textId="31DF129C" w:rsidR="00892E7D" w:rsidRDefault="00400808" w:rsidP="00400808">
      <w:pPr>
        <w:jc w:val="both"/>
        <w:rPr>
          <w:color w:val="434343"/>
        </w:rPr>
      </w:pPr>
      <w:r w:rsidRPr="00400808">
        <w:rPr>
          <w:color w:val="434343"/>
        </w:rPr>
        <w:t xml:space="preserve">If an individual wish to appeal against a decision not taken by </w:t>
      </w:r>
      <w:r w:rsidR="00892E7D">
        <w:rPr>
          <w:color w:val="434343"/>
        </w:rPr>
        <w:t>the Company</w:t>
      </w:r>
      <w:r w:rsidRPr="00400808">
        <w:rPr>
          <w:color w:val="434343"/>
        </w:rPr>
        <w:t xml:space="preserve">, the appeal should be submitted </w:t>
      </w:r>
      <w:r w:rsidR="00892E7D">
        <w:rPr>
          <w:color w:val="434343"/>
        </w:rPr>
        <w:t xml:space="preserve">in the first instance by emailing </w:t>
      </w:r>
      <w:hyperlink r:id="rId10" w:history="1">
        <w:r w:rsidR="00892E7D" w:rsidRPr="00F32DFA">
          <w:rPr>
            <w:rStyle w:val="Hyperlink"/>
          </w:rPr>
          <w:t>training@arkergroup.com</w:t>
        </w:r>
      </w:hyperlink>
      <w:r w:rsidR="00892E7D">
        <w:rPr>
          <w:color w:val="434343"/>
        </w:rPr>
        <w:t xml:space="preserve">.  </w:t>
      </w:r>
    </w:p>
    <w:p w14:paraId="7120A31E" w14:textId="77777777" w:rsidR="00892E7D" w:rsidRDefault="00892E7D" w:rsidP="00400808">
      <w:pPr>
        <w:jc w:val="both"/>
        <w:rPr>
          <w:color w:val="434343"/>
        </w:rPr>
      </w:pPr>
    </w:p>
    <w:p w14:paraId="7072C54B" w14:textId="267E6462" w:rsidR="00400808" w:rsidRPr="00400808" w:rsidRDefault="000E699C" w:rsidP="00400808">
      <w:pPr>
        <w:jc w:val="both"/>
        <w:rPr>
          <w:color w:val="434343"/>
        </w:rPr>
      </w:pPr>
      <w:r>
        <w:rPr>
          <w:color w:val="434343"/>
        </w:rPr>
        <w:t xml:space="preserve">If the appealing person is not satisfied with the response received by the Company, they should make a further appeal </w:t>
      </w:r>
      <w:r w:rsidR="00400808" w:rsidRPr="00400808">
        <w:rPr>
          <w:color w:val="434343"/>
        </w:rPr>
        <w:t xml:space="preserve">to the relevant awarding body using their policies and procedures. </w:t>
      </w:r>
    </w:p>
    <w:p w14:paraId="7E07CF0B" w14:textId="77777777" w:rsidR="00400808" w:rsidRPr="00400808" w:rsidRDefault="00400808" w:rsidP="00400808">
      <w:pPr>
        <w:jc w:val="both"/>
        <w:rPr>
          <w:color w:val="434343"/>
        </w:rPr>
      </w:pPr>
    </w:p>
    <w:p w14:paraId="187BC85F" w14:textId="77E573C3" w:rsidR="00400808" w:rsidRDefault="00400808" w:rsidP="00400808">
      <w:pPr>
        <w:jc w:val="both"/>
        <w:rPr>
          <w:color w:val="434343"/>
        </w:rPr>
      </w:pPr>
      <w:r w:rsidRPr="00400808">
        <w:rPr>
          <w:color w:val="434343"/>
        </w:rPr>
        <w:lastRenderedPageBreak/>
        <w:t xml:space="preserve">There may be a </w:t>
      </w:r>
      <w:r w:rsidR="005176C2">
        <w:rPr>
          <w:color w:val="434343"/>
        </w:rPr>
        <w:t xml:space="preserve">fee applicable to the </w:t>
      </w:r>
      <w:r w:rsidRPr="00400808">
        <w:rPr>
          <w:color w:val="434343"/>
        </w:rPr>
        <w:t xml:space="preserve">learner to cover the administrative and </w:t>
      </w:r>
      <w:r w:rsidR="005217CD">
        <w:rPr>
          <w:color w:val="434343"/>
        </w:rPr>
        <w:t>people resource</w:t>
      </w:r>
      <w:r w:rsidRPr="00400808">
        <w:rPr>
          <w:color w:val="434343"/>
        </w:rPr>
        <w:t xml:space="preserve"> costs involved in dealing with appeals.  </w:t>
      </w:r>
    </w:p>
    <w:p w14:paraId="47229E4F" w14:textId="77777777" w:rsidR="005F0A00" w:rsidRDefault="005F0A00" w:rsidP="00400808">
      <w:pPr>
        <w:jc w:val="both"/>
        <w:rPr>
          <w:color w:val="434343"/>
        </w:rPr>
      </w:pPr>
    </w:p>
    <w:p w14:paraId="71AC7C49" w14:textId="2FF8D887" w:rsidR="00F15DAA" w:rsidRPr="00A00F16" w:rsidRDefault="00F15DAA" w:rsidP="00F15DAA">
      <w:pPr>
        <w:pStyle w:val="ListParagraph"/>
        <w:numPr>
          <w:ilvl w:val="1"/>
          <w:numId w:val="5"/>
        </w:numPr>
        <w:spacing w:after="240"/>
        <w:ind w:left="0"/>
        <w:jc w:val="both"/>
        <w:rPr>
          <w:color w:val="434343"/>
        </w:rPr>
      </w:pPr>
      <w:r>
        <w:rPr>
          <w:b/>
          <w:bCs/>
          <w:color w:val="434343"/>
          <w:u w:val="single"/>
        </w:rPr>
        <w:t>Process for Raising an Appeal with The Arker Group Ltd</w:t>
      </w:r>
    </w:p>
    <w:p w14:paraId="7E4FDE3B" w14:textId="6C61429C" w:rsidR="00400808" w:rsidRPr="00400808" w:rsidRDefault="00400808" w:rsidP="00400808">
      <w:pPr>
        <w:jc w:val="both"/>
        <w:rPr>
          <w:color w:val="434343"/>
        </w:rPr>
      </w:pPr>
      <w:r w:rsidRPr="00400808">
        <w:rPr>
          <w:color w:val="434343"/>
        </w:rPr>
        <w:t xml:space="preserve">Applications for appeals must be made within 7 working days of notification of the decision </w:t>
      </w:r>
      <w:r w:rsidR="001E519C">
        <w:rPr>
          <w:color w:val="434343"/>
        </w:rPr>
        <w:t xml:space="preserve">of which the </w:t>
      </w:r>
      <w:r w:rsidRPr="00400808">
        <w:rPr>
          <w:color w:val="434343"/>
        </w:rPr>
        <w:t xml:space="preserve">individual is appealing against. Written permission of </w:t>
      </w:r>
      <w:r w:rsidR="00132ED1">
        <w:rPr>
          <w:color w:val="434343"/>
        </w:rPr>
        <w:t xml:space="preserve">the relevant </w:t>
      </w:r>
      <w:r w:rsidRPr="00400808">
        <w:rPr>
          <w:color w:val="434343"/>
        </w:rPr>
        <w:t>learner</w:t>
      </w:r>
      <w:r w:rsidR="00132ED1">
        <w:rPr>
          <w:color w:val="434343"/>
        </w:rPr>
        <w:t>(s)</w:t>
      </w:r>
      <w:r w:rsidRPr="00400808">
        <w:rPr>
          <w:color w:val="434343"/>
        </w:rPr>
        <w:t xml:space="preserve"> must be obtained when appealing on their behalf.</w:t>
      </w:r>
    </w:p>
    <w:p w14:paraId="590D7325" w14:textId="77777777" w:rsidR="00400808" w:rsidRPr="00400808" w:rsidRDefault="00400808" w:rsidP="00400808">
      <w:pPr>
        <w:jc w:val="both"/>
        <w:rPr>
          <w:color w:val="434343"/>
        </w:rPr>
      </w:pPr>
    </w:p>
    <w:p w14:paraId="02923AAE" w14:textId="77777777" w:rsidR="00837A14" w:rsidRDefault="00400808" w:rsidP="00400808">
      <w:pPr>
        <w:jc w:val="both"/>
        <w:rPr>
          <w:color w:val="434343"/>
        </w:rPr>
      </w:pPr>
      <w:r w:rsidRPr="00400808">
        <w:rPr>
          <w:color w:val="434343"/>
        </w:rPr>
        <w:t xml:space="preserve">Learners who wish to appeal about their assessment results or about a related decision should either be supported by </w:t>
      </w:r>
      <w:r w:rsidR="00D018ED">
        <w:rPr>
          <w:color w:val="434343"/>
        </w:rPr>
        <w:t>the Company</w:t>
      </w:r>
      <w:r w:rsidRPr="00400808">
        <w:rPr>
          <w:color w:val="434343"/>
        </w:rPr>
        <w:t xml:space="preserve"> and should have exhausted </w:t>
      </w:r>
      <w:r w:rsidR="00D018ED">
        <w:rPr>
          <w:color w:val="434343"/>
        </w:rPr>
        <w:t>the Company</w:t>
      </w:r>
      <w:r w:rsidRPr="00400808">
        <w:rPr>
          <w:color w:val="434343"/>
        </w:rPr>
        <w:t xml:space="preserve"> appeals process before appealing to the awarding body.  </w:t>
      </w:r>
    </w:p>
    <w:p w14:paraId="76F28440" w14:textId="77777777" w:rsidR="00837A14" w:rsidRDefault="00837A14" w:rsidP="00400808">
      <w:pPr>
        <w:jc w:val="both"/>
        <w:rPr>
          <w:color w:val="434343"/>
        </w:rPr>
      </w:pPr>
    </w:p>
    <w:p w14:paraId="74073A10" w14:textId="3839E736" w:rsidR="00400808" w:rsidRPr="00400808" w:rsidRDefault="00400808" w:rsidP="00400808">
      <w:pPr>
        <w:jc w:val="both"/>
        <w:rPr>
          <w:color w:val="434343"/>
        </w:rPr>
      </w:pPr>
      <w:r w:rsidRPr="00400808">
        <w:rPr>
          <w:color w:val="434343"/>
        </w:rPr>
        <w:t xml:space="preserve">Learners must provide the awarding body with evidence that they have first appealed to </w:t>
      </w:r>
      <w:r w:rsidR="00E8196C">
        <w:rPr>
          <w:color w:val="434343"/>
        </w:rPr>
        <w:t>the Company</w:t>
      </w:r>
      <w:r w:rsidRPr="00400808">
        <w:rPr>
          <w:color w:val="434343"/>
        </w:rPr>
        <w:t>. It is expected that learners will only appeal directly to the awarding body in exceptional circumstances.</w:t>
      </w:r>
    </w:p>
    <w:p w14:paraId="544B8008" w14:textId="77777777" w:rsidR="00400808" w:rsidRPr="00400808" w:rsidRDefault="00400808" w:rsidP="00400808">
      <w:pPr>
        <w:jc w:val="both"/>
        <w:rPr>
          <w:color w:val="434343"/>
        </w:rPr>
      </w:pPr>
    </w:p>
    <w:p w14:paraId="6F7B9549" w14:textId="277ABA2C" w:rsidR="00400808" w:rsidRPr="00400808" w:rsidRDefault="00400808" w:rsidP="00400808">
      <w:pPr>
        <w:jc w:val="both"/>
        <w:rPr>
          <w:color w:val="434343"/>
        </w:rPr>
      </w:pPr>
      <w:r w:rsidRPr="00400808">
        <w:rPr>
          <w:color w:val="434343"/>
        </w:rPr>
        <w:t xml:space="preserve">Learners wishing to submit a complaint about an assessment decision or other matter relating to </w:t>
      </w:r>
      <w:r w:rsidR="007E2616">
        <w:rPr>
          <w:color w:val="434343"/>
        </w:rPr>
        <w:t>the Company</w:t>
      </w:r>
      <w:r w:rsidRPr="00400808">
        <w:rPr>
          <w:color w:val="434343"/>
        </w:rPr>
        <w:t xml:space="preserve"> should refer to </w:t>
      </w:r>
      <w:r w:rsidR="00CC4295">
        <w:rPr>
          <w:color w:val="434343"/>
        </w:rPr>
        <w:t>The Arker Group Ltd</w:t>
      </w:r>
      <w:r w:rsidRPr="00400808">
        <w:rPr>
          <w:color w:val="434343"/>
        </w:rPr>
        <w:t xml:space="preserve"> Complaints </w:t>
      </w:r>
      <w:r w:rsidR="00CC4295">
        <w:rPr>
          <w:color w:val="434343"/>
        </w:rPr>
        <w:t>P</w:t>
      </w:r>
      <w:r w:rsidRPr="00400808">
        <w:rPr>
          <w:color w:val="434343"/>
        </w:rPr>
        <w:t xml:space="preserve">olicy. </w:t>
      </w:r>
    </w:p>
    <w:p w14:paraId="731AFE50" w14:textId="77777777" w:rsidR="00400808" w:rsidRPr="00400808" w:rsidRDefault="00400808" w:rsidP="00400808">
      <w:pPr>
        <w:jc w:val="both"/>
        <w:rPr>
          <w:color w:val="434343"/>
        </w:rPr>
      </w:pPr>
      <w:r w:rsidRPr="00400808">
        <w:rPr>
          <w:color w:val="434343"/>
        </w:rPr>
        <w:t xml:space="preserve"> </w:t>
      </w:r>
    </w:p>
    <w:p w14:paraId="6D9B395F" w14:textId="79FA147D" w:rsidR="00400808" w:rsidRDefault="00400808" w:rsidP="00400808">
      <w:pPr>
        <w:jc w:val="both"/>
        <w:rPr>
          <w:color w:val="434343"/>
        </w:rPr>
      </w:pPr>
      <w:r w:rsidRPr="00400808">
        <w:rPr>
          <w:color w:val="434343"/>
        </w:rPr>
        <w:t xml:space="preserve">To submit an appeal, written correspondence </w:t>
      </w:r>
      <w:r w:rsidR="008F3F26">
        <w:rPr>
          <w:color w:val="434343"/>
        </w:rPr>
        <w:t xml:space="preserve">must be sent to the Company via </w:t>
      </w:r>
      <w:r w:rsidRPr="00400808">
        <w:rPr>
          <w:color w:val="434343"/>
        </w:rPr>
        <w:t>email</w:t>
      </w:r>
      <w:r w:rsidR="008F3F26">
        <w:rPr>
          <w:color w:val="434343"/>
        </w:rPr>
        <w:t xml:space="preserve"> at </w:t>
      </w:r>
      <w:hyperlink r:id="rId11" w:history="1">
        <w:r w:rsidR="008F3F26" w:rsidRPr="00F32DFA">
          <w:rPr>
            <w:rStyle w:val="Hyperlink"/>
          </w:rPr>
          <w:t>training@arkergroup.com</w:t>
        </w:r>
      </w:hyperlink>
      <w:r w:rsidR="008F3F26">
        <w:rPr>
          <w:color w:val="434343"/>
        </w:rPr>
        <w:t>.</w:t>
      </w:r>
    </w:p>
    <w:p w14:paraId="76F4EA85" w14:textId="77777777" w:rsidR="00400808" w:rsidRPr="00347DB7" w:rsidRDefault="00400808" w:rsidP="00400808">
      <w:pPr>
        <w:jc w:val="both"/>
        <w:rPr>
          <w:color w:val="434343"/>
        </w:rPr>
      </w:pPr>
      <w:r w:rsidRPr="00347DB7">
        <w:rPr>
          <w:color w:val="434343"/>
        </w:rPr>
        <w:t xml:space="preserve"> </w:t>
      </w:r>
    </w:p>
    <w:p w14:paraId="22BE9B00" w14:textId="517162D2" w:rsidR="00400808" w:rsidRPr="00347DB7" w:rsidRDefault="00400808" w:rsidP="00A120C8">
      <w:pPr>
        <w:spacing w:after="240"/>
        <w:jc w:val="both"/>
        <w:rPr>
          <w:color w:val="434343"/>
        </w:rPr>
      </w:pPr>
      <w:r w:rsidRPr="00347DB7">
        <w:rPr>
          <w:color w:val="434343"/>
        </w:rPr>
        <w:t>The written correspondence should supply relevant supporting information such as the</w:t>
      </w:r>
      <w:r w:rsidR="00347DB7" w:rsidRPr="00347DB7">
        <w:rPr>
          <w:color w:val="434343"/>
        </w:rPr>
        <w:t>:</w:t>
      </w:r>
      <w:r w:rsidRPr="00347DB7">
        <w:rPr>
          <w:color w:val="434343"/>
        </w:rPr>
        <w:t xml:space="preserve"> </w:t>
      </w:r>
    </w:p>
    <w:p w14:paraId="054D2279" w14:textId="05E8FAAB" w:rsidR="00400808" w:rsidRPr="00A120C8" w:rsidRDefault="00400808" w:rsidP="00A120C8">
      <w:pPr>
        <w:pStyle w:val="ListParagraph"/>
        <w:numPr>
          <w:ilvl w:val="0"/>
          <w:numId w:val="14"/>
        </w:numPr>
        <w:jc w:val="both"/>
        <w:rPr>
          <w:color w:val="434343"/>
        </w:rPr>
      </w:pPr>
      <w:r w:rsidRPr="00A120C8">
        <w:rPr>
          <w:color w:val="434343"/>
        </w:rPr>
        <w:t xml:space="preserve">Individual’s name and registration number  </w:t>
      </w:r>
    </w:p>
    <w:p w14:paraId="7B303CC4" w14:textId="185CDF2A" w:rsidR="00400808" w:rsidRPr="00A120C8" w:rsidRDefault="00400808" w:rsidP="00A120C8">
      <w:pPr>
        <w:pStyle w:val="ListParagraph"/>
        <w:numPr>
          <w:ilvl w:val="0"/>
          <w:numId w:val="14"/>
        </w:numPr>
        <w:jc w:val="both"/>
        <w:rPr>
          <w:color w:val="434343"/>
        </w:rPr>
      </w:pPr>
      <w:r w:rsidRPr="00A120C8">
        <w:rPr>
          <w:color w:val="434343"/>
        </w:rPr>
        <w:t>Date(s) notification of any decision received if appropriate</w:t>
      </w:r>
      <w:r w:rsidR="00DE1C62">
        <w:rPr>
          <w:color w:val="434343"/>
        </w:rPr>
        <w:t>.</w:t>
      </w:r>
    </w:p>
    <w:p w14:paraId="04982FFB" w14:textId="54DB8045" w:rsidR="00400808" w:rsidRPr="00A120C8" w:rsidRDefault="00400808" w:rsidP="00A120C8">
      <w:pPr>
        <w:pStyle w:val="ListParagraph"/>
        <w:numPr>
          <w:ilvl w:val="0"/>
          <w:numId w:val="14"/>
        </w:numPr>
        <w:jc w:val="both"/>
        <w:rPr>
          <w:color w:val="434343"/>
        </w:rPr>
      </w:pPr>
      <w:r w:rsidRPr="00A120C8">
        <w:rPr>
          <w:color w:val="434343"/>
        </w:rPr>
        <w:t>Title and number of the qualification affected, or nature of service affected (if appropriate)</w:t>
      </w:r>
      <w:r w:rsidR="00DE1C62">
        <w:rPr>
          <w:color w:val="434343"/>
        </w:rPr>
        <w:t>.</w:t>
      </w:r>
    </w:p>
    <w:p w14:paraId="5D755E90" w14:textId="78CFDF0D" w:rsidR="00400808" w:rsidRPr="00A120C8" w:rsidRDefault="00400808" w:rsidP="00A120C8">
      <w:pPr>
        <w:pStyle w:val="ListParagraph"/>
        <w:numPr>
          <w:ilvl w:val="0"/>
          <w:numId w:val="14"/>
        </w:numPr>
        <w:jc w:val="both"/>
        <w:rPr>
          <w:color w:val="434343"/>
        </w:rPr>
      </w:pPr>
      <w:r w:rsidRPr="00A120C8">
        <w:rPr>
          <w:color w:val="434343"/>
        </w:rPr>
        <w:t>Full nature of the appeal</w:t>
      </w:r>
      <w:r w:rsidR="00DE1C62">
        <w:rPr>
          <w:color w:val="434343"/>
        </w:rPr>
        <w:t>.</w:t>
      </w:r>
    </w:p>
    <w:p w14:paraId="7AB9A4DB" w14:textId="59ACE8E3" w:rsidR="00400808" w:rsidRPr="00A120C8" w:rsidRDefault="00400808" w:rsidP="00A120C8">
      <w:pPr>
        <w:pStyle w:val="ListParagraph"/>
        <w:numPr>
          <w:ilvl w:val="0"/>
          <w:numId w:val="14"/>
        </w:numPr>
        <w:jc w:val="both"/>
        <w:rPr>
          <w:color w:val="434343"/>
        </w:rPr>
      </w:pPr>
      <w:r w:rsidRPr="00A120C8">
        <w:rPr>
          <w:color w:val="434343"/>
        </w:rPr>
        <w:t>Contents and outcome of any investigation carried out by us relating to the issue (if appropriate)</w:t>
      </w:r>
      <w:r w:rsidR="00DE1C62">
        <w:rPr>
          <w:color w:val="434343"/>
        </w:rPr>
        <w:t>.</w:t>
      </w:r>
    </w:p>
    <w:p w14:paraId="0F59E831" w14:textId="468331E2" w:rsidR="00400808" w:rsidRPr="004A35F3" w:rsidRDefault="00400808" w:rsidP="00400808">
      <w:pPr>
        <w:pStyle w:val="ListParagraph"/>
        <w:numPr>
          <w:ilvl w:val="0"/>
          <w:numId w:val="14"/>
        </w:numPr>
        <w:jc w:val="both"/>
        <w:rPr>
          <w:color w:val="434343"/>
        </w:rPr>
      </w:pPr>
      <w:r w:rsidRPr="00A120C8">
        <w:rPr>
          <w:color w:val="434343"/>
        </w:rPr>
        <w:t>Any supporting evidence e.g., witness statements, records</w:t>
      </w:r>
      <w:r w:rsidR="00DE1C62">
        <w:rPr>
          <w:color w:val="434343"/>
        </w:rPr>
        <w:t xml:space="preserve">. </w:t>
      </w:r>
    </w:p>
    <w:p w14:paraId="072D5574" w14:textId="77777777" w:rsidR="00400808" w:rsidRPr="00400808" w:rsidRDefault="00400808" w:rsidP="00400808">
      <w:pPr>
        <w:jc w:val="both"/>
        <w:rPr>
          <w:color w:val="434343"/>
        </w:rPr>
      </w:pPr>
    </w:p>
    <w:p w14:paraId="7B7DEF42" w14:textId="350CB12D" w:rsidR="00F15DAA" w:rsidRPr="00A00F16" w:rsidRDefault="00F15DAA" w:rsidP="00F15DAA">
      <w:pPr>
        <w:pStyle w:val="ListParagraph"/>
        <w:numPr>
          <w:ilvl w:val="1"/>
          <w:numId w:val="5"/>
        </w:numPr>
        <w:spacing w:after="240"/>
        <w:ind w:left="0"/>
        <w:jc w:val="both"/>
        <w:rPr>
          <w:color w:val="434343"/>
        </w:rPr>
      </w:pPr>
      <w:r>
        <w:rPr>
          <w:b/>
          <w:bCs/>
          <w:color w:val="434343"/>
          <w:u w:val="single"/>
        </w:rPr>
        <w:t>Review and Outcome of Appeals</w:t>
      </w:r>
    </w:p>
    <w:p w14:paraId="31A01D04" w14:textId="1C59C4B6" w:rsidR="00D62816" w:rsidRDefault="00400808" w:rsidP="00400808">
      <w:pPr>
        <w:jc w:val="both"/>
        <w:rPr>
          <w:color w:val="434343"/>
        </w:rPr>
      </w:pPr>
      <w:r w:rsidRPr="00400808">
        <w:rPr>
          <w:color w:val="434343"/>
        </w:rPr>
        <w:t xml:space="preserve">Upon </w:t>
      </w:r>
      <w:r w:rsidR="00D62816">
        <w:rPr>
          <w:color w:val="434343"/>
        </w:rPr>
        <w:t>receiving an</w:t>
      </w:r>
      <w:r w:rsidRPr="00400808">
        <w:rPr>
          <w:color w:val="434343"/>
        </w:rPr>
        <w:t xml:space="preserve"> </w:t>
      </w:r>
      <w:r w:rsidR="00D62816" w:rsidRPr="00400808">
        <w:rPr>
          <w:color w:val="434343"/>
        </w:rPr>
        <w:t>appeal,</w:t>
      </w:r>
      <w:r w:rsidRPr="00400808">
        <w:rPr>
          <w:color w:val="434343"/>
        </w:rPr>
        <w:t xml:space="preserve"> </w:t>
      </w:r>
      <w:r w:rsidR="00BC71CD">
        <w:rPr>
          <w:color w:val="434343"/>
        </w:rPr>
        <w:t>the Company</w:t>
      </w:r>
      <w:r w:rsidRPr="00400808">
        <w:rPr>
          <w:color w:val="434343"/>
        </w:rPr>
        <w:t xml:space="preserve"> will acknowledge receipt of the appeal within 2 working days and aim to respond fully to the initial review of the potential appeal within 10 working days.</w:t>
      </w:r>
      <w:r w:rsidR="00D62816">
        <w:rPr>
          <w:color w:val="434343"/>
        </w:rPr>
        <w:t xml:space="preserve"> </w:t>
      </w:r>
    </w:p>
    <w:p w14:paraId="38E84C10" w14:textId="77777777" w:rsidR="00D62816" w:rsidRDefault="00D62816" w:rsidP="00400808">
      <w:pPr>
        <w:jc w:val="both"/>
        <w:rPr>
          <w:color w:val="434343"/>
        </w:rPr>
      </w:pPr>
    </w:p>
    <w:p w14:paraId="2054A5E5" w14:textId="56950CAC" w:rsidR="00400808" w:rsidRPr="00400808" w:rsidRDefault="00400808" w:rsidP="00400808">
      <w:pPr>
        <w:jc w:val="both"/>
        <w:rPr>
          <w:color w:val="434343"/>
        </w:rPr>
      </w:pPr>
      <w:r w:rsidRPr="00400808">
        <w:rPr>
          <w:color w:val="434343"/>
        </w:rPr>
        <w:t xml:space="preserve">Please note that in some cases the review processes may take longer, for example, if </w:t>
      </w:r>
      <w:r w:rsidR="00D62816">
        <w:rPr>
          <w:color w:val="434343"/>
        </w:rPr>
        <w:t xml:space="preserve">there is a need </w:t>
      </w:r>
      <w:r w:rsidRPr="00400808">
        <w:rPr>
          <w:color w:val="434343"/>
        </w:rPr>
        <w:t xml:space="preserve">to conduct further investigations. In such instances, all parties concerned </w:t>
      </w:r>
      <w:r w:rsidR="00D62816">
        <w:rPr>
          <w:color w:val="434343"/>
        </w:rPr>
        <w:t xml:space="preserve">will be contacted </w:t>
      </w:r>
      <w:r w:rsidRPr="00400808">
        <w:rPr>
          <w:color w:val="434343"/>
        </w:rPr>
        <w:t xml:space="preserve">to inform them of the likely revised timescale. </w:t>
      </w:r>
    </w:p>
    <w:p w14:paraId="6A6D088C" w14:textId="77777777" w:rsidR="00400808" w:rsidRPr="00400808" w:rsidRDefault="00400808" w:rsidP="00400808">
      <w:pPr>
        <w:jc w:val="both"/>
        <w:rPr>
          <w:color w:val="434343"/>
        </w:rPr>
      </w:pPr>
      <w:r w:rsidRPr="00400808">
        <w:rPr>
          <w:color w:val="434343"/>
        </w:rPr>
        <w:t xml:space="preserve"> </w:t>
      </w:r>
    </w:p>
    <w:p w14:paraId="73EDD233" w14:textId="2FB2AFAD" w:rsidR="00400808" w:rsidRPr="00400808" w:rsidRDefault="00400808" w:rsidP="00400808">
      <w:pPr>
        <w:jc w:val="both"/>
        <w:rPr>
          <w:color w:val="434343"/>
        </w:rPr>
      </w:pPr>
      <w:r w:rsidRPr="00400808">
        <w:rPr>
          <w:color w:val="434343"/>
        </w:rPr>
        <w:lastRenderedPageBreak/>
        <w:t xml:space="preserve">The first stage </w:t>
      </w:r>
      <w:r w:rsidR="003A3DB0">
        <w:rPr>
          <w:color w:val="434343"/>
        </w:rPr>
        <w:t>the Company will</w:t>
      </w:r>
      <w:r w:rsidRPr="00400808">
        <w:rPr>
          <w:color w:val="434343"/>
        </w:rPr>
        <w:t xml:space="preserve"> undertake an initial, informal assessment of all potential appeals to ensure the application is complete and to ascertain if the issue can be resolved </w:t>
      </w:r>
      <w:r w:rsidR="002C5D9C">
        <w:rPr>
          <w:color w:val="434343"/>
        </w:rPr>
        <w:t>informally</w:t>
      </w:r>
      <w:r w:rsidRPr="00400808">
        <w:rPr>
          <w:color w:val="434343"/>
        </w:rPr>
        <w:t xml:space="preserve">. In all instances </w:t>
      </w:r>
      <w:r w:rsidR="002C5D9C">
        <w:rPr>
          <w:color w:val="434343"/>
        </w:rPr>
        <w:t>the Company</w:t>
      </w:r>
      <w:r w:rsidRPr="00400808">
        <w:rPr>
          <w:color w:val="434343"/>
        </w:rPr>
        <w:t xml:space="preserve"> will ensure that the person carrying out this initial check will not have a personal interest in the decision being appealed</w:t>
      </w:r>
      <w:r w:rsidR="007F6E90">
        <w:rPr>
          <w:color w:val="434343"/>
        </w:rPr>
        <w:t xml:space="preserve"> against</w:t>
      </w:r>
      <w:r w:rsidRPr="00400808">
        <w:rPr>
          <w:color w:val="434343"/>
        </w:rPr>
        <w:t xml:space="preserve">.   </w:t>
      </w:r>
    </w:p>
    <w:p w14:paraId="05A5EB96" w14:textId="77777777" w:rsidR="00400808" w:rsidRPr="00400808" w:rsidRDefault="00400808" w:rsidP="00400808">
      <w:pPr>
        <w:jc w:val="both"/>
        <w:rPr>
          <w:color w:val="434343"/>
        </w:rPr>
      </w:pPr>
      <w:r w:rsidRPr="00400808">
        <w:rPr>
          <w:color w:val="434343"/>
        </w:rPr>
        <w:t xml:space="preserve"> </w:t>
      </w:r>
    </w:p>
    <w:p w14:paraId="494B931D" w14:textId="52329E5D" w:rsidR="00400808" w:rsidRPr="00400808" w:rsidRDefault="00400808" w:rsidP="00400808">
      <w:pPr>
        <w:jc w:val="both"/>
        <w:rPr>
          <w:color w:val="434343"/>
        </w:rPr>
      </w:pPr>
      <w:r w:rsidRPr="00400808">
        <w:rPr>
          <w:color w:val="434343"/>
        </w:rPr>
        <w:t xml:space="preserve">Following the initial review of the potential appeal </w:t>
      </w:r>
      <w:r w:rsidR="0008613A">
        <w:rPr>
          <w:color w:val="434343"/>
        </w:rPr>
        <w:t>the Company</w:t>
      </w:r>
      <w:r w:rsidRPr="00400808">
        <w:rPr>
          <w:color w:val="434343"/>
        </w:rPr>
        <w:t xml:space="preserve"> will write to the appellant with details of </w:t>
      </w:r>
      <w:r w:rsidR="007C4DDF">
        <w:rPr>
          <w:color w:val="434343"/>
        </w:rPr>
        <w:t>the</w:t>
      </w:r>
      <w:r w:rsidRPr="00400808">
        <w:rPr>
          <w:color w:val="434343"/>
        </w:rPr>
        <w:t xml:space="preserve"> decision </w:t>
      </w:r>
      <w:r w:rsidR="007C4DDF">
        <w:rPr>
          <w:color w:val="434343"/>
        </w:rPr>
        <w:t xml:space="preserve">made </w:t>
      </w:r>
      <w:r w:rsidRPr="00400808">
        <w:rPr>
          <w:color w:val="434343"/>
        </w:rPr>
        <w:t xml:space="preserve">to either: </w:t>
      </w:r>
    </w:p>
    <w:p w14:paraId="73578D28" w14:textId="77777777" w:rsidR="00400808" w:rsidRPr="00400808" w:rsidRDefault="00400808" w:rsidP="00400808">
      <w:pPr>
        <w:jc w:val="both"/>
        <w:rPr>
          <w:color w:val="434343"/>
        </w:rPr>
      </w:pPr>
      <w:r w:rsidRPr="00400808">
        <w:rPr>
          <w:color w:val="434343"/>
        </w:rPr>
        <w:t xml:space="preserve"> </w:t>
      </w:r>
    </w:p>
    <w:p w14:paraId="01E243B5" w14:textId="7F4F87A4" w:rsidR="007C4DDF" w:rsidRPr="007C4DDF" w:rsidRDefault="00400808" w:rsidP="007C4DDF">
      <w:pPr>
        <w:pStyle w:val="ListParagraph"/>
        <w:numPr>
          <w:ilvl w:val="0"/>
          <w:numId w:val="16"/>
        </w:numPr>
        <w:jc w:val="both"/>
        <w:rPr>
          <w:color w:val="434343"/>
        </w:rPr>
      </w:pPr>
      <w:r w:rsidRPr="007C4DDF">
        <w:rPr>
          <w:color w:val="434343"/>
        </w:rPr>
        <w:t xml:space="preserve">Amend </w:t>
      </w:r>
      <w:r w:rsidR="00C11C5A">
        <w:rPr>
          <w:color w:val="434343"/>
        </w:rPr>
        <w:t>the</w:t>
      </w:r>
      <w:r w:rsidRPr="007C4DDF">
        <w:rPr>
          <w:color w:val="434343"/>
        </w:rPr>
        <w:t xml:space="preserve"> original decision considering the rationale/evidence being put forward</w:t>
      </w:r>
      <w:r w:rsidR="00C11C5A">
        <w:rPr>
          <w:color w:val="434343"/>
        </w:rPr>
        <w:t xml:space="preserve"> by the person raising the appeal</w:t>
      </w:r>
      <w:r w:rsidR="007C4DDF">
        <w:rPr>
          <w:color w:val="434343"/>
        </w:rPr>
        <w:t>.</w:t>
      </w:r>
    </w:p>
    <w:p w14:paraId="6544C7DF" w14:textId="25154983" w:rsidR="007C4DDF" w:rsidRPr="007C4DDF" w:rsidRDefault="00400808" w:rsidP="007C4DDF">
      <w:pPr>
        <w:ind w:left="720"/>
        <w:jc w:val="both"/>
        <w:rPr>
          <w:i/>
          <w:iCs/>
          <w:color w:val="434343"/>
        </w:rPr>
      </w:pPr>
      <w:r w:rsidRPr="007C4DDF">
        <w:rPr>
          <w:i/>
          <w:iCs/>
          <w:color w:val="434343"/>
        </w:rPr>
        <w:t>O</w:t>
      </w:r>
      <w:r w:rsidR="007C4DDF" w:rsidRPr="007C4DDF">
        <w:rPr>
          <w:i/>
          <w:iCs/>
          <w:color w:val="434343"/>
        </w:rPr>
        <w:t>r</w:t>
      </w:r>
    </w:p>
    <w:p w14:paraId="5742094C" w14:textId="09DD8E03" w:rsidR="00400808" w:rsidRPr="007C4DDF" w:rsidRDefault="00400808" w:rsidP="007C4DDF">
      <w:pPr>
        <w:pStyle w:val="ListParagraph"/>
        <w:numPr>
          <w:ilvl w:val="0"/>
          <w:numId w:val="15"/>
        </w:numPr>
        <w:jc w:val="both"/>
        <w:rPr>
          <w:color w:val="434343"/>
        </w:rPr>
      </w:pPr>
      <w:r w:rsidRPr="007C4DDF">
        <w:rPr>
          <w:color w:val="434343"/>
        </w:rPr>
        <w:t xml:space="preserve">Confirm </w:t>
      </w:r>
      <w:r w:rsidR="00C11C5A">
        <w:rPr>
          <w:color w:val="434343"/>
        </w:rPr>
        <w:t>the decision is</w:t>
      </w:r>
      <w:r w:rsidRPr="007C4DDF">
        <w:rPr>
          <w:color w:val="434343"/>
        </w:rPr>
        <w:t xml:space="preserve"> uph</w:t>
      </w:r>
      <w:r w:rsidR="00C11C5A">
        <w:rPr>
          <w:color w:val="434343"/>
        </w:rPr>
        <w:t xml:space="preserve">eld, maintaining the </w:t>
      </w:r>
      <w:r w:rsidRPr="007C4DDF">
        <w:rPr>
          <w:color w:val="434343"/>
        </w:rPr>
        <w:t xml:space="preserve">original decision providing rationale </w:t>
      </w:r>
      <w:r w:rsidR="00C11C5A">
        <w:rPr>
          <w:color w:val="434343"/>
        </w:rPr>
        <w:t>and explanation as to why</w:t>
      </w:r>
      <w:r w:rsidRPr="007C4DDF">
        <w:rPr>
          <w:color w:val="434343"/>
        </w:rPr>
        <w:t xml:space="preserve">. </w:t>
      </w:r>
    </w:p>
    <w:p w14:paraId="1B6B7A52" w14:textId="77777777" w:rsidR="00400808" w:rsidRDefault="00400808" w:rsidP="00400808">
      <w:pPr>
        <w:jc w:val="both"/>
        <w:rPr>
          <w:color w:val="434343"/>
        </w:rPr>
      </w:pPr>
      <w:r w:rsidRPr="00400808">
        <w:rPr>
          <w:color w:val="434343"/>
        </w:rPr>
        <w:t xml:space="preserve"> </w:t>
      </w:r>
    </w:p>
    <w:p w14:paraId="02FDDCD0" w14:textId="37F7D059" w:rsidR="00F50C54" w:rsidRPr="00F50C54" w:rsidRDefault="00FF754B" w:rsidP="00400808">
      <w:pPr>
        <w:pStyle w:val="ListParagraph"/>
        <w:numPr>
          <w:ilvl w:val="1"/>
          <w:numId w:val="5"/>
        </w:numPr>
        <w:spacing w:after="240"/>
        <w:ind w:left="0"/>
        <w:jc w:val="both"/>
        <w:rPr>
          <w:color w:val="434343"/>
        </w:rPr>
      </w:pPr>
      <w:r>
        <w:rPr>
          <w:b/>
          <w:bCs/>
          <w:color w:val="434343"/>
          <w:u w:val="single"/>
        </w:rPr>
        <w:t>Escalating Your Appeal if you Remain Dissatisfied</w:t>
      </w:r>
      <w:r w:rsidR="00166540">
        <w:rPr>
          <w:b/>
          <w:bCs/>
          <w:color w:val="434343"/>
          <w:u w:val="single"/>
        </w:rPr>
        <w:t xml:space="preserve"> – Highfield Qualifications </w:t>
      </w:r>
    </w:p>
    <w:p w14:paraId="2C8C1A3F" w14:textId="50E14212" w:rsidR="00F50C54" w:rsidRDefault="00F50C54" w:rsidP="00F50C54">
      <w:pPr>
        <w:jc w:val="both"/>
        <w:rPr>
          <w:color w:val="434343"/>
        </w:rPr>
      </w:pPr>
      <w:r w:rsidRPr="00F50C54">
        <w:rPr>
          <w:color w:val="434343"/>
        </w:rPr>
        <w:t>Th</w:t>
      </w:r>
      <w:r w:rsidR="00121CBE">
        <w:rPr>
          <w:color w:val="434343"/>
        </w:rPr>
        <w:t xml:space="preserve">e steps outlined in Section 3.2 of this Policy </w:t>
      </w:r>
      <w:r w:rsidRPr="00F50C54">
        <w:rPr>
          <w:color w:val="434343"/>
        </w:rPr>
        <w:t xml:space="preserve">will be the final route of escalation within </w:t>
      </w:r>
      <w:r w:rsidR="00121CBE">
        <w:rPr>
          <w:color w:val="434343"/>
        </w:rPr>
        <w:t>the</w:t>
      </w:r>
      <w:r w:rsidRPr="00F50C54">
        <w:rPr>
          <w:color w:val="434343"/>
        </w:rPr>
        <w:t xml:space="preserve"> </w:t>
      </w:r>
      <w:r w:rsidR="00121CBE">
        <w:rPr>
          <w:color w:val="434343"/>
        </w:rPr>
        <w:t>C</w:t>
      </w:r>
      <w:r w:rsidRPr="00F50C54">
        <w:rPr>
          <w:color w:val="434343"/>
        </w:rPr>
        <w:t xml:space="preserve">ompany.  Therefore, if you remain unhappy after following our own internal appeals procedure then please contact the Awarding Organisation directly. </w:t>
      </w:r>
      <w:r w:rsidR="004E4028">
        <w:rPr>
          <w:color w:val="434343"/>
        </w:rPr>
        <w:t xml:space="preserve"> </w:t>
      </w:r>
      <w:r w:rsidRPr="00F50C54">
        <w:rPr>
          <w:color w:val="434343"/>
        </w:rPr>
        <w:t>The Awarding Organisation is Highfield Qualifications</w:t>
      </w:r>
      <w:r w:rsidR="004E4028">
        <w:rPr>
          <w:color w:val="434343"/>
        </w:rPr>
        <w:t>,</w:t>
      </w:r>
      <w:r w:rsidRPr="00F50C54">
        <w:rPr>
          <w:color w:val="434343"/>
        </w:rPr>
        <w:t xml:space="preserve"> and their appeals policy can be located on their website: </w:t>
      </w:r>
      <w:hyperlink r:id="rId12" w:history="1">
        <w:r w:rsidR="004E4028" w:rsidRPr="00815087">
          <w:rPr>
            <w:rStyle w:val="Hyperlink"/>
          </w:rPr>
          <w:t>https://www.highfieldqualifications.com</w:t>
        </w:r>
      </w:hyperlink>
      <w:r w:rsidR="004E4028">
        <w:rPr>
          <w:color w:val="434343"/>
        </w:rPr>
        <w:t xml:space="preserve">. </w:t>
      </w:r>
      <w:r w:rsidRPr="00F50C54">
        <w:rPr>
          <w:color w:val="434343"/>
        </w:rPr>
        <w:t>Alternatively, please speak to the Highfield Qualifications team on 01302 363277.</w:t>
      </w:r>
    </w:p>
    <w:p w14:paraId="4E4AA471" w14:textId="77777777" w:rsidR="004E4028" w:rsidRPr="00F50C54" w:rsidRDefault="004E4028" w:rsidP="00F50C54">
      <w:pPr>
        <w:jc w:val="both"/>
        <w:rPr>
          <w:color w:val="434343"/>
        </w:rPr>
      </w:pPr>
    </w:p>
    <w:p w14:paraId="12DA95D8" w14:textId="569B2C82" w:rsidR="00F50C54" w:rsidRDefault="00F50C54" w:rsidP="00400808">
      <w:pPr>
        <w:jc w:val="both"/>
        <w:rPr>
          <w:color w:val="434343"/>
        </w:rPr>
      </w:pPr>
      <w:r w:rsidRPr="00F50C54">
        <w:rPr>
          <w:color w:val="434343"/>
        </w:rPr>
        <w:t xml:space="preserve">Should you address your appeal to Highfield Qualifications and remain unhappy with the outcome you may then raise your appeal to the relevant qualification regulator.  Either a representative of </w:t>
      </w:r>
      <w:r w:rsidR="007619DA">
        <w:rPr>
          <w:color w:val="434343"/>
        </w:rPr>
        <w:t>The Arker Group Ltd</w:t>
      </w:r>
      <w:r w:rsidRPr="00F50C54">
        <w:rPr>
          <w:color w:val="434343"/>
        </w:rPr>
        <w:t xml:space="preserve"> or Highfield Qualifications will be able to offer you guidance on the appropriate qualification regulator in each instance and provide contact details.</w:t>
      </w:r>
    </w:p>
    <w:p w14:paraId="76636EB5" w14:textId="77777777" w:rsidR="00E23A85" w:rsidRDefault="00E23A85" w:rsidP="00400808">
      <w:pPr>
        <w:jc w:val="both"/>
        <w:rPr>
          <w:color w:val="434343"/>
        </w:rPr>
      </w:pPr>
    </w:p>
    <w:p w14:paraId="53931E70" w14:textId="34631382" w:rsidR="00E23A85" w:rsidRPr="00F50C54" w:rsidRDefault="00E23A85" w:rsidP="00E23A85">
      <w:pPr>
        <w:pStyle w:val="ListParagraph"/>
        <w:numPr>
          <w:ilvl w:val="1"/>
          <w:numId w:val="5"/>
        </w:numPr>
        <w:spacing w:after="240"/>
        <w:ind w:left="0"/>
        <w:jc w:val="both"/>
        <w:rPr>
          <w:color w:val="434343"/>
        </w:rPr>
      </w:pPr>
      <w:r>
        <w:rPr>
          <w:b/>
          <w:bCs/>
          <w:color w:val="434343"/>
          <w:u w:val="single"/>
        </w:rPr>
        <w:t xml:space="preserve">Escalating Your Appeal if you Remain Dissatisfied – RLSS UK Qualifications </w:t>
      </w:r>
    </w:p>
    <w:p w14:paraId="0516E7D7" w14:textId="56BFC7D3" w:rsidR="00CD747A" w:rsidRPr="00CD747A" w:rsidRDefault="00931D6E" w:rsidP="00CD747A">
      <w:pPr>
        <w:pStyle w:val="paragraph"/>
        <w:spacing w:before="0" w:beforeAutospacing="0" w:after="0" w:afterAutospacing="0"/>
        <w:jc w:val="both"/>
        <w:textAlignment w:val="baseline"/>
        <w:rPr>
          <w:rStyle w:val="normaltextrun"/>
          <w:rFonts w:asciiTheme="minorHAnsi" w:hAnsiTheme="minorHAnsi" w:cstheme="minorHAnsi"/>
          <w:color w:val="434343"/>
        </w:rPr>
      </w:pPr>
      <w:r w:rsidRPr="00CD747A">
        <w:rPr>
          <w:rFonts w:asciiTheme="minorHAnsi" w:hAnsiTheme="minorHAnsi" w:cstheme="minorHAnsi"/>
          <w:color w:val="434343"/>
        </w:rPr>
        <w:t>The steps outlined in Section 3.2 of this Policy will be the final route of escalation within the Company.  Therefore, if you remain unhappy after following our own internal appeals procedure</w:t>
      </w:r>
      <w:r w:rsidR="00CD747A" w:rsidRPr="00CD747A">
        <w:rPr>
          <w:rFonts w:asciiTheme="minorHAnsi" w:hAnsiTheme="minorHAnsi" w:cstheme="minorHAnsi"/>
          <w:color w:val="434343"/>
        </w:rPr>
        <w:t xml:space="preserve">, </w:t>
      </w:r>
      <w:r w:rsidR="00CD747A" w:rsidRPr="00CD747A">
        <w:rPr>
          <w:rStyle w:val="normaltextrun"/>
          <w:rFonts w:asciiTheme="minorHAnsi" w:hAnsiTheme="minorHAnsi" w:cstheme="minorHAnsi"/>
          <w:color w:val="434343"/>
        </w:rPr>
        <w:t xml:space="preserve">you can refer your grievance to the RLSS UK Compliance Team via email: </w:t>
      </w:r>
      <w:hyperlink r:id="rId13" w:history="1">
        <w:r w:rsidR="00CD747A" w:rsidRPr="00CD747A">
          <w:rPr>
            <w:rStyle w:val="Hyperlink"/>
            <w:rFonts w:asciiTheme="minorHAnsi" w:hAnsiTheme="minorHAnsi" w:cstheme="minorHAnsi"/>
          </w:rPr>
          <w:t>compliance@rlss.org.uk</w:t>
        </w:r>
      </w:hyperlink>
      <w:r w:rsidR="00AF7201">
        <w:rPr>
          <w:rFonts w:asciiTheme="minorHAnsi" w:hAnsiTheme="minorHAnsi" w:cstheme="minorHAnsi"/>
        </w:rPr>
        <w:t xml:space="preserve"> </w:t>
      </w:r>
      <w:r w:rsidR="00AF7201" w:rsidRPr="00AF7201">
        <w:rPr>
          <w:rFonts w:asciiTheme="minorHAnsi" w:hAnsiTheme="minorHAnsi" w:cstheme="minorHAnsi"/>
          <w:color w:val="434343"/>
        </w:rPr>
        <w:t>and/or the contact details below</w:t>
      </w:r>
      <w:r w:rsidR="00CD747A" w:rsidRPr="00AF7201">
        <w:rPr>
          <w:rStyle w:val="normaltextrun"/>
          <w:rFonts w:asciiTheme="minorHAnsi" w:hAnsiTheme="minorHAnsi" w:cstheme="minorHAnsi"/>
          <w:color w:val="434343"/>
        </w:rPr>
        <w:t>.</w:t>
      </w:r>
      <w:r w:rsidR="00CD747A" w:rsidRPr="00CD747A">
        <w:rPr>
          <w:rStyle w:val="normaltextrun"/>
          <w:rFonts w:asciiTheme="minorHAnsi" w:hAnsiTheme="minorHAnsi" w:cstheme="minorHAnsi"/>
          <w:color w:val="434343"/>
        </w:rPr>
        <w:t xml:space="preserve"> In such cases, </w:t>
      </w:r>
      <w:r w:rsidR="00CD747A" w:rsidRPr="00CD747A">
        <w:rPr>
          <w:rStyle w:val="eop"/>
          <w:rFonts w:asciiTheme="minorHAnsi" w:hAnsiTheme="minorHAnsi" w:cstheme="minorHAnsi"/>
          <w:color w:val="434343"/>
        </w:rPr>
        <w:t>t</w:t>
      </w:r>
      <w:r w:rsidR="00CD747A" w:rsidRPr="00CD747A">
        <w:rPr>
          <w:rStyle w:val="normaltextrun"/>
          <w:rFonts w:asciiTheme="minorHAnsi" w:hAnsiTheme="minorHAnsi" w:cstheme="minorHAnsi"/>
          <w:color w:val="434343"/>
        </w:rPr>
        <w:t>his must be done within 10 working days of receipt of our decision.</w:t>
      </w:r>
    </w:p>
    <w:p w14:paraId="7BDE4E70" w14:textId="77777777" w:rsidR="00931D6E" w:rsidRPr="00931D6E" w:rsidRDefault="00931D6E" w:rsidP="00931D6E">
      <w:pPr>
        <w:jc w:val="both"/>
        <w:rPr>
          <w:color w:val="434343"/>
        </w:rPr>
      </w:pPr>
    </w:p>
    <w:p w14:paraId="1A7424E3" w14:textId="4AD5470A" w:rsidR="00931D6E" w:rsidRPr="00931D6E" w:rsidRDefault="00931D6E" w:rsidP="00931D6E">
      <w:pPr>
        <w:jc w:val="both"/>
        <w:rPr>
          <w:color w:val="434343"/>
        </w:rPr>
      </w:pPr>
      <w:r w:rsidRPr="00931D6E">
        <w:rPr>
          <w:color w:val="434343"/>
        </w:rPr>
        <w:t xml:space="preserve">Should you address your appeal to </w:t>
      </w:r>
      <w:r w:rsidR="00933A38">
        <w:rPr>
          <w:color w:val="434343"/>
        </w:rPr>
        <w:t>the RLSS</w:t>
      </w:r>
      <w:r w:rsidRPr="00931D6E">
        <w:rPr>
          <w:color w:val="434343"/>
        </w:rPr>
        <w:t xml:space="preserve"> and remain unhappy with the outcome you may then raise your appeal to the relevant qualification regulator.  Either a representative of The Arker Group Ltd or </w:t>
      </w:r>
      <w:r w:rsidR="000E1018">
        <w:rPr>
          <w:color w:val="434343"/>
        </w:rPr>
        <w:t>RLSS UK</w:t>
      </w:r>
      <w:r w:rsidRPr="00931D6E">
        <w:rPr>
          <w:color w:val="434343"/>
        </w:rPr>
        <w:t xml:space="preserve"> will be able to offer you guidance on the appropriate qualification regulator in each instance and provide contact details.</w:t>
      </w:r>
    </w:p>
    <w:p w14:paraId="2843FF52" w14:textId="77777777" w:rsidR="00931D6E" w:rsidRDefault="00931D6E" w:rsidP="00931D6E">
      <w:pPr>
        <w:pStyle w:val="paragraph"/>
        <w:spacing w:before="0" w:beforeAutospacing="0" w:after="0" w:afterAutospacing="0"/>
        <w:jc w:val="both"/>
        <w:textAlignment w:val="baseline"/>
        <w:rPr>
          <w:rStyle w:val="normaltextrun"/>
          <w:rFonts w:asciiTheme="minorHAnsi" w:hAnsiTheme="minorHAnsi" w:cstheme="minorBidi"/>
          <w:sz w:val="22"/>
          <w:szCs w:val="22"/>
        </w:rPr>
      </w:pPr>
    </w:p>
    <w:p w14:paraId="3D9548E4" w14:textId="77777777" w:rsidR="00931D6E" w:rsidRDefault="00931D6E" w:rsidP="00931D6E">
      <w:pPr>
        <w:pStyle w:val="paragraph"/>
        <w:spacing w:before="0" w:beforeAutospacing="0" w:after="0" w:afterAutospacing="0"/>
        <w:jc w:val="both"/>
        <w:textAlignment w:val="baseline"/>
        <w:rPr>
          <w:rStyle w:val="normaltextrun"/>
          <w:rFonts w:asciiTheme="minorHAnsi" w:hAnsiTheme="minorHAnsi" w:cstheme="minorBidi"/>
          <w:sz w:val="22"/>
          <w:szCs w:val="22"/>
        </w:rPr>
      </w:pPr>
    </w:p>
    <w:p w14:paraId="3C2B0512" w14:textId="77777777" w:rsidR="00931D6E" w:rsidRDefault="00931D6E" w:rsidP="00931D6E">
      <w:pPr>
        <w:pStyle w:val="paragraph"/>
        <w:spacing w:before="0" w:beforeAutospacing="0" w:after="0" w:afterAutospacing="0"/>
        <w:jc w:val="both"/>
        <w:textAlignment w:val="baseline"/>
        <w:rPr>
          <w:rStyle w:val="normaltextrun"/>
          <w:rFonts w:asciiTheme="minorHAnsi" w:hAnsiTheme="minorHAnsi" w:cstheme="minorBidi"/>
          <w:sz w:val="22"/>
          <w:szCs w:val="22"/>
        </w:rPr>
      </w:pPr>
    </w:p>
    <w:p w14:paraId="0C89553D" w14:textId="16465048" w:rsidR="00931D6E" w:rsidRPr="0063308A" w:rsidRDefault="00931D6E" w:rsidP="000D42F7">
      <w:pPr>
        <w:pStyle w:val="paragraph"/>
        <w:spacing w:before="0" w:beforeAutospacing="0" w:after="0" w:afterAutospacing="0"/>
        <w:jc w:val="both"/>
        <w:textAlignment w:val="baseline"/>
        <w:rPr>
          <w:rStyle w:val="normaltextrun"/>
          <w:rFonts w:asciiTheme="minorHAnsi" w:hAnsiTheme="minorHAnsi" w:cstheme="minorBidi"/>
          <w:color w:val="434343"/>
          <w:sz w:val="22"/>
          <w:szCs w:val="22"/>
        </w:rPr>
      </w:pPr>
      <w:r w:rsidRPr="000D42F7">
        <w:rPr>
          <w:rStyle w:val="normaltextrun"/>
          <w:rFonts w:asciiTheme="minorHAnsi" w:hAnsiTheme="minorHAnsi" w:cstheme="minorBidi"/>
          <w:color w:val="434343"/>
          <w:sz w:val="22"/>
          <w:szCs w:val="22"/>
        </w:rPr>
        <w:lastRenderedPageBreak/>
        <w:t>RLSS UK Qualifications will only review the original appeal and your dissatisfaction with how it was handled.</w:t>
      </w:r>
      <w:r w:rsidR="0063308A">
        <w:rPr>
          <w:rFonts w:asciiTheme="minorHAnsi" w:hAnsiTheme="minorHAnsi" w:cstheme="minorBidi"/>
          <w:color w:val="434343"/>
          <w:sz w:val="22"/>
          <w:szCs w:val="22"/>
        </w:rPr>
        <w:t xml:space="preserve"> </w:t>
      </w:r>
      <w:r w:rsidRPr="000D42F7">
        <w:rPr>
          <w:rStyle w:val="normaltextrun"/>
          <w:rFonts w:asciiTheme="minorHAnsi" w:hAnsiTheme="minorHAnsi" w:cstheme="minorHAnsi"/>
          <w:color w:val="434343"/>
          <w:sz w:val="22"/>
          <w:szCs w:val="22"/>
        </w:rPr>
        <w:t xml:space="preserve">Further consideration of your appeal will only be made if the review considers </w:t>
      </w:r>
      <w:r w:rsidR="00DC5CD6">
        <w:rPr>
          <w:rStyle w:val="normaltextrun"/>
          <w:rFonts w:asciiTheme="minorHAnsi" w:hAnsiTheme="minorHAnsi" w:cstheme="minorHAnsi"/>
          <w:color w:val="434343"/>
          <w:sz w:val="22"/>
          <w:szCs w:val="22"/>
        </w:rPr>
        <w:t xml:space="preserve">that </w:t>
      </w:r>
      <w:r w:rsidRPr="000D42F7">
        <w:rPr>
          <w:rStyle w:val="normaltextrun"/>
          <w:rFonts w:asciiTheme="minorHAnsi" w:hAnsiTheme="minorHAnsi" w:cstheme="minorHAnsi"/>
          <w:color w:val="434343"/>
          <w:sz w:val="22"/>
          <w:szCs w:val="22"/>
        </w:rPr>
        <w:t>the complaint was not handled according to our procedures or failed to consider critical evidence.</w:t>
      </w:r>
      <w:r w:rsidRPr="000D42F7">
        <w:rPr>
          <w:rStyle w:val="eop"/>
          <w:rFonts w:asciiTheme="minorHAnsi" w:hAnsiTheme="minorHAnsi" w:cstheme="minorHAnsi"/>
          <w:color w:val="434343"/>
          <w:sz w:val="22"/>
          <w:szCs w:val="22"/>
        </w:rPr>
        <w:t> </w:t>
      </w:r>
      <w:r w:rsidRPr="000D42F7">
        <w:rPr>
          <w:rStyle w:val="normaltextrun"/>
          <w:rFonts w:asciiTheme="minorHAnsi" w:hAnsiTheme="minorHAnsi" w:cstheme="minorHAnsi"/>
          <w:color w:val="434343"/>
          <w:sz w:val="22"/>
          <w:szCs w:val="22"/>
        </w:rPr>
        <w:t>Any decisions made at this stage will be signed off by the RLSS UK Compliance Team.</w:t>
      </w:r>
      <w:r w:rsidR="000D42F7">
        <w:rPr>
          <w:rStyle w:val="normaltextrun"/>
          <w:rFonts w:asciiTheme="minorHAnsi" w:hAnsiTheme="minorHAnsi" w:cstheme="minorHAnsi"/>
          <w:color w:val="434343"/>
          <w:sz w:val="22"/>
          <w:szCs w:val="22"/>
        </w:rPr>
        <w:t xml:space="preserve"> </w:t>
      </w:r>
      <w:r w:rsidRPr="000D42F7">
        <w:rPr>
          <w:rStyle w:val="normaltextrun"/>
          <w:rFonts w:asciiTheme="minorHAnsi" w:hAnsiTheme="minorHAnsi" w:cstheme="minorHAnsi"/>
          <w:color w:val="434343"/>
          <w:sz w:val="22"/>
          <w:szCs w:val="22"/>
        </w:rPr>
        <w:t>RLSS UK Qualifications will require evidence that you have first gone through our appeals process.</w:t>
      </w:r>
    </w:p>
    <w:p w14:paraId="0B97AB74" w14:textId="77777777" w:rsidR="00931D6E" w:rsidRPr="001B13D6" w:rsidRDefault="00931D6E" w:rsidP="00931D6E">
      <w:pPr>
        <w:pStyle w:val="paragraph"/>
        <w:spacing w:before="0" w:beforeAutospacing="0" w:after="0" w:afterAutospacing="0"/>
        <w:textAlignment w:val="baseline"/>
        <w:rPr>
          <w:rStyle w:val="normaltextrun"/>
          <w:rFonts w:asciiTheme="minorHAnsi" w:hAnsiTheme="minorHAnsi" w:cstheme="minorHAnsi"/>
          <w:sz w:val="22"/>
          <w:szCs w:val="22"/>
        </w:rPr>
      </w:pPr>
    </w:p>
    <w:tbl>
      <w:tblPr>
        <w:tblStyle w:val="TableGrid"/>
        <w:tblW w:w="0" w:type="auto"/>
        <w:tblLook w:val="04A0" w:firstRow="1" w:lastRow="0" w:firstColumn="1" w:lastColumn="0" w:noHBand="0" w:noVBand="1"/>
      </w:tblPr>
      <w:tblGrid>
        <w:gridCol w:w="2263"/>
        <w:gridCol w:w="6753"/>
      </w:tblGrid>
      <w:tr w:rsidR="00931D6E" w14:paraId="26450B19" w14:textId="77777777" w:rsidTr="00BD13FF">
        <w:tc>
          <w:tcPr>
            <w:tcW w:w="9016" w:type="dxa"/>
            <w:gridSpan w:val="2"/>
            <w:shd w:val="clear" w:color="auto" w:fill="4472C4" w:themeFill="accent1"/>
          </w:tcPr>
          <w:p w14:paraId="54992DA6" w14:textId="77777777" w:rsidR="00931D6E" w:rsidRDefault="00931D6E" w:rsidP="00BD13FF">
            <w:pPr>
              <w:ind w:right="30"/>
              <w:jc w:val="center"/>
              <w:textAlignment w:val="baseline"/>
              <w:rPr>
                <w:rFonts w:eastAsia="Times New Roman" w:cstheme="minorHAnsi"/>
                <w:b/>
                <w:bCs/>
                <w:color w:val="FFFFFF" w:themeColor="background1"/>
              </w:rPr>
            </w:pPr>
            <w:r w:rsidRPr="007C2EAA">
              <w:rPr>
                <w:rFonts w:eastAsia="Times New Roman" w:cstheme="minorHAnsi"/>
                <w:b/>
                <w:bCs/>
                <w:color w:val="FFFFFF" w:themeColor="background1"/>
              </w:rPr>
              <w:t>RLSS U</w:t>
            </w:r>
            <w:r>
              <w:rPr>
                <w:rFonts w:eastAsia="Times New Roman" w:cstheme="minorHAnsi"/>
                <w:b/>
                <w:bCs/>
                <w:color w:val="FFFFFF" w:themeColor="background1"/>
              </w:rPr>
              <w:t>K Qualifications</w:t>
            </w:r>
            <w:r w:rsidRPr="007C2EAA">
              <w:rPr>
                <w:rFonts w:eastAsia="Times New Roman" w:cstheme="minorHAnsi"/>
                <w:b/>
                <w:bCs/>
                <w:color w:val="FFFFFF" w:themeColor="background1"/>
              </w:rPr>
              <w:t xml:space="preserve"> Contact</w:t>
            </w:r>
          </w:p>
          <w:p w14:paraId="13790F1A" w14:textId="77777777" w:rsidR="00931D6E" w:rsidRDefault="00931D6E" w:rsidP="00BD13FF">
            <w:pPr>
              <w:ind w:right="30"/>
              <w:textAlignment w:val="baseline"/>
              <w:rPr>
                <w:rFonts w:eastAsia="Times New Roman" w:cstheme="minorHAnsi"/>
              </w:rPr>
            </w:pPr>
          </w:p>
        </w:tc>
      </w:tr>
      <w:tr w:rsidR="00931D6E" w14:paraId="7115BD4F" w14:textId="77777777" w:rsidTr="00BD13FF">
        <w:tc>
          <w:tcPr>
            <w:tcW w:w="2263" w:type="dxa"/>
            <w:shd w:val="clear" w:color="auto" w:fill="4472C4" w:themeFill="accent1"/>
          </w:tcPr>
          <w:p w14:paraId="41C78FD4" w14:textId="77777777" w:rsidR="00931D6E" w:rsidRPr="00764456" w:rsidRDefault="00931D6E" w:rsidP="00BD13FF">
            <w:pPr>
              <w:ind w:right="30"/>
              <w:textAlignment w:val="baseline"/>
              <w:rPr>
                <w:rFonts w:eastAsia="Times New Roman" w:cstheme="minorHAnsi"/>
                <w:b/>
                <w:bCs/>
                <w:color w:val="FFFFFF" w:themeColor="background1"/>
              </w:rPr>
            </w:pPr>
            <w:r w:rsidRPr="00764456">
              <w:rPr>
                <w:rFonts w:eastAsia="Times New Roman" w:cstheme="minorHAnsi"/>
                <w:b/>
                <w:bCs/>
                <w:color w:val="FFFFFF" w:themeColor="background1"/>
              </w:rPr>
              <w:t>Email</w:t>
            </w:r>
          </w:p>
        </w:tc>
        <w:tc>
          <w:tcPr>
            <w:tcW w:w="6753" w:type="dxa"/>
          </w:tcPr>
          <w:p w14:paraId="1FE59860" w14:textId="77777777" w:rsidR="00931D6E" w:rsidRPr="001B13D6" w:rsidRDefault="00931D6E" w:rsidP="00BD13FF">
            <w:pPr>
              <w:textAlignment w:val="baseline"/>
              <w:rPr>
                <w:rFonts w:eastAsia="Times New Roman" w:cstheme="minorHAnsi"/>
              </w:rPr>
            </w:pPr>
            <w:hyperlink r:id="rId14" w:history="1">
              <w:r>
                <w:rPr>
                  <w:rStyle w:val="Hyperlink"/>
                  <w:rFonts w:eastAsia="Times New Roman" w:cstheme="minorHAnsi"/>
                </w:rPr>
                <w:t>compliance@rlss.org.uk</w:t>
              </w:r>
            </w:hyperlink>
            <w:r w:rsidRPr="001B13D6">
              <w:rPr>
                <w:rFonts w:eastAsia="Times New Roman" w:cstheme="minorHAnsi"/>
              </w:rPr>
              <w:t> </w:t>
            </w:r>
          </w:p>
          <w:p w14:paraId="461364FB" w14:textId="77777777" w:rsidR="00931D6E" w:rsidRDefault="00931D6E" w:rsidP="00BD13FF">
            <w:pPr>
              <w:ind w:right="30"/>
              <w:textAlignment w:val="baseline"/>
              <w:rPr>
                <w:rFonts w:eastAsia="Times New Roman" w:cstheme="minorHAnsi"/>
              </w:rPr>
            </w:pPr>
          </w:p>
        </w:tc>
      </w:tr>
      <w:tr w:rsidR="00931D6E" w14:paraId="5CDAEDF6" w14:textId="77777777" w:rsidTr="00BD13FF">
        <w:tc>
          <w:tcPr>
            <w:tcW w:w="2263" w:type="dxa"/>
            <w:shd w:val="clear" w:color="auto" w:fill="4472C4" w:themeFill="accent1"/>
          </w:tcPr>
          <w:p w14:paraId="6A0C6E84" w14:textId="77777777" w:rsidR="00931D6E" w:rsidRPr="00764456" w:rsidRDefault="00931D6E" w:rsidP="00BD13FF">
            <w:pPr>
              <w:ind w:right="30"/>
              <w:textAlignment w:val="baseline"/>
              <w:rPr>
                <w:rFonts w:eastAsia="Times New Roman" w:cstheme="minorHAnsi"/>
                <w:b/>
                <w:bCs/>
                <w:color w:val="FFFFFF" w:themeColor="background1"/>
              </w:rPr>
            </w:pPr>
            <w:r w:rsidRPr="00764456">
              <w:rPr>
                <w:rFonts w:eastAsia="Times New Roman" w:cstheme="minorHAnsi"/>
                <w:b/>
                <w:bCs/>
                <w:color w:val="FFFFFF" w:themeColor="background1"/>
              </w:rPr>
              <w:t>Telephone</w:t>
            </w:r>
          </w:p>
        </w:tc>
        <w:tc>
          <w:tcPr>
            <w:tcW w:w="6753" w:type="dxa"/>
          </w:tcPr>
          <w:p w14:paraId="79F8B0AA" w14:textId="77777777" w:rsidR="00931D6E" w:rsidRPr="001B13D6" w:rsidRDefault="00931D6E" w:rsidP="00BD13FF">
            <w:pPr>
              <w:textAlignment w:val="baseline"/>
              <w:rPr>
                <w:rFonts w:eastAsia="Times New Roman" w:cstheme="minorHAnsi"/>
              </w:rPr>
            </w:pPr>
            <w:r w:rsidRPr="001B13D6">
              <w:rPr>
                <w:rFonts w:eastAsia="Times New Roman" w:cstheme="minorHAnsi"/>
              </w:rPr>
              <w:t>0300 323 0096 </w:t>
            </w:r>
          </w:p>
          <w:p w14:paraId="549E6D7B" w14:textId="77777777" w:rsidR="00931D6E" w:rsidRDefault="00931D6E" w:rsidP="00BD13FF">
            <w:pPr>
              <w:ind w:right="30"/>
              <w:textAlignment w:val="baseline"/>
              <w:rPr>
                <w:rFonts w:eastAsia="Times New Roman" w:cstheme="minorHAnsi"/>
              </w:rPr>
            </w:pPr>
            <w:r w:rsidRPr="001B13D6">
              <w:rPr>
                <w:rFonts w:eastAsia="Times New Roman" w:cstheme="minorHAnsi"/>
              </w:rPr>
              <w:t> </w:t>
            </w:r>
          </w:p>
        </w:tc>
      </w:tr>
      <w:tr w:rsidR="00931D6E" w14:paraId="56ED9286" w14:textId="77777777" w:rsidTr="00BD13FF">
        <w:tc>
          <w:tcPr>
            <w:tcW w:w="2263" w:type="dxa"/>
            <w:shd w:val="clear" w:color="auto" w:fill="4472C4" w:themeFill="accent1"/>
          </w:tcPr>
          <w:p w14:paraId="55E7CDE2" w14:textId="77777777" w:rsidR="00931D6E" w:rsidRPr="00764456" w:rsidRDefault="00931D6E" w:rsidP="00BD13FF">
            <w:pPr>
              <w:ind w:right="30"/>
              <w:textAlignment w:val="baseline"/>
              <w:rPr>
                <w:rFonts w:eastAsia="Times New Roman" w:cstheme="minorHAnsi"/>
                <w:b/>
                <w:bCs/>
                <w:color w:val="FFFFFF" w:themeColor="background1"/>
              </w:rPr>
            </w:pPr>
            <w:r w:rsidRPr="00764456">
              <w:rPr>
                <w:rFonts w:eastAsia="Times New Roman" w:cstheme="minorHAnsi"/>
                <w:b/>
                <w:bCs/>
                <w:color w:val="FFFFFF" w:themeColor="background1"/>
              </w:rPr>
              <w:t>Address</w:t>
            </w:r>
          </w:p>
        </w:tc>
        <w:tc>
          <w:tcPr>
            <w:tcW w:w="6753" w:type="dxa"/>
          </w:tcPr>
          <w:p w14:paraId="38D236F0" w14:textId="77777777" w:rsidR="00931D6E" w:rsidRDefault="00931D6E" w:rsidP="00BD13FF">
            <w:pPr>
              <w:ind w:right="30"/>
              <w:textAlignment w:val="baseline"/>
              <w:rPr>
                <w:rFonts w:eastAsia="Times New Roman" w:cstheme="minorHAnsi"/>
              </w:rPr>
            </w:pPr>
            <w:r>
              <w:rPr>
                <w:rFonts w:eastAsia="Times New Roman" w:cstheme="minorHAnsi"/>
              </w:rPr>
              <w:t>Royal Life Saving Society</w:t>
            </w:r>
          </w:p>
          <w:p w14:paraId="739254E0" w14:textId="77777777" w:rsidR="00931D6E" w:rsidRDefault="00931D6E" w:rsidP="00BD13FF">
            <w:pPr>
              <w:ind w:right="30"/>
              <w:textAlignment w:val="baseline"/>
              <w:rPr>
                <w:rFonts w:eastAsia="Times New Roman" w:cstheme="minorHAnsi"/>
              </w:rPr>
            </w:pPr>
            <w:r>
              <w:rPr>
                <w:rFonts w:eastAsia="Times New Roman" w:cstheme="minorHAnsi"/>
              </w:rPr>
              <w:t xml:space="preserve">Red Hill House </w:t>
            </w:r>
          </w:p>
          <w:p w14:paraId="4FCEFE59" w14:textId="77777777" w:rsidR="00931D6E" w:rsidRDefault="00931D6E" w:rsidP="00BD13FF">
            <w:pPr>
              <w:ind w:right="30"/>
              <w:textAlignment w:val="baseline"/>
              <w:rPr>
                <w:rFonts w:eastAsia="Times New Roman" w:cstheme="minorHAnsi"/>
              </w:rPr>
            </w:pPr>
            <w:r>
              <w:rPr>
                <w:rFonts w:eastAsia="Times New Roman" w:cstheme="minorHAnsi"/>
              </w:rPr>
              <w:t xml:space="preserve">227 London Road </w:t>
            </w:r>
          </w:p>
          <w:p w14:paraId="5300889A" w14:textId="77777777" w:rsidR="00931D6E" w:rsidRDefault="00931D6E" w:rsidP="00BD13FF">
            <w:pPr>
              <w:ind w:right="30"/>
              <w:textAlignment w:val="baseline"/>
              <w:rPr>
                <w:rFonts w:eastAsia="Times New Roman" w:cstheme="minorHAnsi"/>
              </w:rPr>
            </w:pPr>
            <w:r>
              <w:rPr>
                <w:rFonts w:eastAsia="Times New Roman" w:cstheme="minorHAnsi"/>
              </w:rPr>
              <w:t xml:space="preserve">Worcester </w:t>
            </w:r>
          </w:p>
          <w:p w14:paraId="568567D7" w14:textId="77777777" w:rsidR="00931D6E" w:rsidRDefault="00931D6E" w:rsidP="00BD13FF">
            <w:pPr>
              <w:ind w:right="30"/>
              <w:textAlignment w:val="baseline"/>
              <w:rPr>
                <w:rFonts w:eastAsia="Times New Roman" w:cstheme="minorHAnsi"/>
              </w:rPr>
            </w:pPr>
            <w:r>
              <w:rPr>
                <w:rFonts w:eastAsia="Times New Roman" w:cstheme="minorHAnsi"/>
              </w:rPr>
              <w:t>WR5 2JG</w:t>
            </w:r>
          </w:p>
        </w:tc>
      </w:tr>
    </w:tbl>
    <w:p w14:paraId="05AD5FF6" w14:textId="77777777" w:rsidR="00F50C54" w:rsidRDefault="00F50C54" w:rsidP="00400808">
      <w:pPr>
        <w:jc w:val="both"/>
        <w:rPr>
          <w:color w:val="434343"/>
        </w:rPr>
      </w:pPr>
    </w:p>
    <w:p w14:paraId="7DDD1354" w14:textId="2AFF6ADD" w:rsidR="00E94899" w:rsidRPr="00E94899" w:rsidRDefault="00E94899" w:rsidP="00400808">
      <w:pPr>
        <w:pStyle w:val="ListParagraph"/>
        <w:numPr>
          <w:ilvl w:val="1"/>
          <w:numId w:val="5"/>
        </w:numPr>
        <w:spacing w:after="240"/>
        <w:ind w:left="0"/>
        <w:jc w:val="both"/>
        <w:rPr>
          <w:color w:val="434343"/>
        </w:rPr>
      </w:pPr>
      <w:r w:rsidRPr="00E94899">
        <w:rPr>
          <w:b/>
          <w:bCs/>
          <w:color w:val="434343"/>
          <w:u w:val="single"/>
        </w:rPr>
        <w:t xml:space="preserve">Successful appeals and/or issues brought to </w:t>
      </w:r>
      <w:r w:rsidR="00AB546F">
        <w:rPr>
          <w:b/>
          <w:bCs/>
          <w:color w:val="434343"/>
          <w:u w:val="single"/>
        </w:rPr>
        <w:t xml:space="preserve">the Company’s </w:t>
      </w:r>
      <w:r w:rsidRPr="00E94899">
        <w:rPr>
          <w:b/>
          <w:bCs/>
          <w:color w:val="434343"/>
          <w:u w:val="single"/>
        </w:rPr>
        <w:t xml:space="preserve">attention by </w:t>
      </w:r>
      <w:r w:rsidR="00D80436">
        <w:rPr>
          <w:b/>
          <w:bCs/>
          <w:color w:val="434343"/>
          <w:u w:val="single"/>
        </w:rPr>
        <w:t>A</w:t>
      </w:r>
      <w:r w:rsidRPr="00E94899">
        <w:rPr>
          <w:b/>
          <w:bCs/>
          <w:color w:val="434343"/>
          <w:u w:val="single"/>
        </w:rPr>
        <w:t xml:space="preserve">warding </w:t>
      </w:r>
      <w:r w:rsidR="00D80436">
        <w:rPr>
          <w:b/>
          <w:bCs/>
          <w:color w:val="434343"/>
          <w:u w:val="single"/>
        </w:rPr>
        <w:t>B</w:t>
      </w:r>
      <w:r w:rsidRPr="00E94899">
        <w:rPr>
          <w:b/>
          <w:bCs/>
          <w:color w:val="434343"/>
          <w:u w:val="single"/>
        </w:rPr>
        <w:t>odies</w:t>
      </w:r>
    </w:p>
    <w:p w14:paraId="5744D6CA" w14:textId="73491A26" w:rsidR="00400808" w:rsidRPr="00400808" w:rsidRDefault="00400808" w:rsidP="00400808">
      <w:pPr>
        <w:jc w:val="both"/>
        <w:rPr>
          <w:color w:val="434343"/>
        </w:rPr>
      </w:pPr>
      <w:r w:rsidRPr="00400808">
        <w:rPr>
          <w:color w:val="434343"/>
        </w:rPr>
        <w:t xml:space="preserve">In situations where an appeal has been successful, or where an investigation following notification from one of </w:t>
      </w:r>
      <w:r w:rsidR="00A352D4">
        <w:rPr>
          <w:color w:val="434343"/>
        </w:rPr>
        <w:t>the Awarding Bodies/</w:t>
      </w:r>
      <w:r w:rsidRPr="00400808">
        <w:rPr>
          <w:color w:val="434343"/>
        </w:rPr>
        <w:t xml:space="preserve">Regulators indicates a failure in </w:t>
      </w:r>
      <w:r w:rsidR="00A352D4">
        <w:rPr>
          <w:color w:val="434343"/>
        </w:rPr>
        <w:t>Company</w:t>
      </w:r>
      <w:r w:rsidRPr="00400808">
        <w:rPr>
          <w:color w:val="434343"/>
        </w:rPr>
        <w:t xml:space="preserve"> processes, </w:t>
      </w:r>
      <w:r w:rsidR="00A352D4">
        <w:rPr>
          <w:color w:val="434343"/>
        </w:rPr>
        <w:t xml:space="preserve">the Company </w:t>
      </w:r>
      <w:r w:rsidRPr="00400808">
        <w:rPr>
          <w:color w:val="434343"/>
        </w:rPr>
        <w:t xml:space="preserve">will as appropriate take actions for example: </w:t>
      </w:r>
    </w:p>
    <w:p w14:paraId="06F0F427" w14:textId="77777777" w:rsidR="00400808" w:rsidRPr="00400808" w:rsidRDefault="00400808" w:rsidP="00400808">
      <w:pPr>
        <w:jc w:val="both"/>
        <w:rPr>
          <w:color w:val="434343"/>
        </w:rPr>
      </w:pPr>
      <w:r w:rsidRPr="00400808">
        <w:rPr>
          <w:color w:val="434343"/>
        </w:rPr>
        <w:t xml:space="preserve"> </w:t>
      </w:r>
    </w:p>
    <w:p w14:paraId="64D33DCE" w14:textId="12AC9EB3" w:rsidR="00400808" w:rsidRPr="00A352D4" w:rsidRDefault="00400808" w:rsidP="00A352D4">
      <w:pPr>
        <w:pStyle w:val="ListParagraph"/>
        <w:numPr>
          <w:ilvl w:val="0"/>
          <w:numId w:val="15"/>
        </w:numPr>
        <w:jc w:val="both"/>
        <w:rPr>
          <w:color w:val="434343"/>
        </w:rPr>
      </w:pPr>
      <w:r w:rsidRPr="00A352D4">
        <w:rPr>
          <w:color w:val="434343"/>
        </w:rPr>
        <w:t>Identify any other learners who have been affected and correct or, where it cannot be corrected, mitigate as far as possible the effect of the failure</w:t>
      </w:r>
      <w:r w:rsidR="00A352D4" w:rsidRPr="00A352D4">
        <w:rPr>
          <w:color w:val="434343"/>
        </w:rPr>
        <w:t>.</w:t>
      </w:r>
    </w:p>
    <w:p w14:paraId="16F6E62C" w14:textId="2828F0B9" w:rsidR="00400808" w:rsidRPr="00A352D4" w:rsidRDefault="00400808" w:rsidP="00A352D4">
      <w:pPr>
        <w:pStyle w:val="ListParagraph"/>
        <w:numPr>
          <w:ilvl w:val="0"/>
          <w:numId w:val="15"/>
        </w:numPr>
        <w:jc w:val="both"/>
        <w:rPr>
          <w:color w:val="434343"/>
        </w:rPr>
      </w:pPr>
      <w:r w:rsidRPr="00A352D4">
        <w:rPr>
          <w:color w:val="434343"/>
        </w:rPr>
        <w:t xml:space="preserve">Review </w:t>
      </w:r>
      <w:r w:rsidR="00A15985">
        <w:rPr>
          <w:color w:val="434343"/>
        </w:rPr>
        <w:t>the</w:t>
      </w:r>
      <w:r w:rsidRPr="00A352D4">
        <w:rPr>
          <w:color w:val="434343"/>
        </w:rPr>
        <w:t xml:space="preserve"> associated processes and policies to ensure that the ‘failure’ does not occur again or mitigate the situation as far as possible if the failure that occurred cannot be corrected</w:t>
      </w:r>
      <w:r w:rsidR="00A352D4" w:rsidRPr="00A352D4">
        <w:rPr>
          <w:color w:val="434343"/>
        </w:rPr>
        <w:t>.</w:t>
      </w:r>
    </w:p>
    <w:p w14:paraId="18E8F3C3" w14:textId="6D92CA90" w:rsidR="00400808" w:rsidRPr="00A352D4" w:rsidRDefault="00400808" w:rsidP="00A352D4">
      <w:pPr>
        <w:pStyle w:val="ListParagraph"/>
        <w:numPr>
          <w:ilvl w:val="0"/>
          <w:numId w:val="15"/>
        </w:numPr>
        <w:jc w:val="both"/>
        <w:rPr>
          <w:color w:val="434343"/>
        </w:rPr>
      </w:pPr>
      <w:r w:rsidRPr="00A352D4">
        <w:rPr>
          <w:color w:val="434343"/>
        </w:rPr>
        <w:t xml:space="preserve">Share ‘lessons learned’ with all those responsible e.g., through ongoing training, newsletters, standardisation. </w:t>
      </w:r>
    </w:p>
    <w:p w14:paraId="3BDC4825" w14:textId="77777777" w:rsidR="00400808" w:rsidRPr="00400808" w:rsidRDefault="00400808" w:rsidP="00400808">
      <w:pPr>
        <w:jc w:val="both"/>
        <w:rPr>
          <w:color w:val="434343"/>
        </w:rPr>
      </w:pPr>
      <w:r w:rsidRPr="00400808">
        <w:rPr>
          <w:color w:val="434343"/>
        </w:rPr>
        <w:t xml:space="preserve"> </w:t>
      </w:r>
    </w:p>
    <w:p w14:paraId="0CC89826" w14:textId="3FF32129" w:rsidR="00400808" w:rsidRPr="00400808" w:rsidRDefault="00A660A9" w:rsidP="00400808">
      <w:pPr>
        <w:jc w:val="both"/>
        <w:rPr>
          <w:color w:val="434343"/>
        </w:rPr>
      </w:pPr>
      <w:r>
        <w:rPr>
          <w:color w:val="434343"/>
        </w:rPr>
        <w:t>The Company</w:t>
      </w:r>
      <w:r w:rsidR="00400808" w:rsidRPr="00400808">
        <w:rPr>
          <w:color w:val="434343"/>
        </w:rPr>
        <w:t xml:space="preserve"> ha</w:t>
      </w:r>
      <w:r>
        <w:rPr>
          <w:color w:val="434343"/>
        </w:rPr>
        <w:t>s</w:t>
      </w:r>
      <w:r w:rsidR="00400808" w:rsidRPr="00400808">
        <w:rPr>
          <w:color w:val="434343"/>
        </w:rPr>
        <w:t xml:space="preserve"> a duty to cooperate with any follow-up investigations required by the awarding body/Regulators and others with a vested interest and if appropriate agree any remedial action with them. </w:t>
      </w:r>
    </w:p>
    <w:p w14:paraId="364F3714" w14:textId="77777777" w:rsidR="006F6996" w:rsidRDefault="006F6996" w:rsidP="009F5FC5">
      <w:pPr>
        <w:jc w:val="both"/>
        <w:rPr>
          <w:color w:val="434343"/>
        </w:rPr>
      </w:pPr>
    </w:p>
    <w:p w14:paraId="0387A51C" w14:textId="77777777" w:rsidR="00F50C54" w:rsidRDefault="00F50C54" w:rsidP="009F5FC5">
      <w:pPr>
        <w:jc w:val="both"/>
        <w:rPr>
          <w:color w:val="434343"/>
        </w:rPr>
      </w:pPr>
    </w:p>
    <w:sectPr w:rsidR="00F50C54" w:rsidSect="00083332">
      <w:headerReference w:type="default" r:id="rId15"/>
      <w:footerReference w:type="default" r:id="rId16"/>
      <w:pgSz w:w="11906" w:h="16838"/>
      <w:pgMar w:top="1734" w:right="1440" w:bottom="206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AFABE" w14:textId="77777777" w:rsidR="00A27A56" w:rsidRDefault="00A27A56" w:rsidP="00A27A56">
      <w:r>
        <w:separator/>
      </w:r>
    </w:p>
  </w:endnote>
  <w:endnote w:type="continuationSeparator" w:id="0">
    <w:p w14:paraId="58F24BC9" w14:textId="77777777" w:rsidR="00A27A56" w:rsidRDefault="00A27A56" w:rsidP="00A27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78661" w14:textId="77777777" w:rsidR="00366B08" w:rsidRDefault="00366B08" w:rsidP="00366B08">
    <w:pPr>
      <w:pStyle w:val="Footer"/>
      <w:rPr>
        <w:color w:val="434343"/>
      </w:rPr>
    </w:pPr>
    <w:r w:rsidRPr="0070094D">
      <w:rPr>
        <w:color w:val="434343"/>
      </w:rPr>
      <w:t>The Arker Group Ltd</w:t>
    </w:r>
  </w:p>
  <w:p w14:paraId="473CE545" w14:textId="77777777" w:rsidR="00366B08" w:rsidRDefault="00366B08" w:rsidP="00366B08">
    <w:pPr>
      <w:pStyle w:val="Footer"/>
      <w:rPr>
        <w:color w:val="434343"/>
      </w:rPr>
    </w:pPr>
    <w:r>
      <w:rPr>
        <w:color w:val="434343"/>
      </w:rPr>
      <w:t>58 Wollaton Road</w:t>
    </w:r>
  </w:p>
  <w:p w14:paraId="1EC39789" w14:textId="77777777" w:rsidR="00366B08" w:rsidRDefault="00366B08" w:rsidP="00366B08">
    <w:pPr>
      <w:pStyle w:val="Footer"/>
      <w:rPr>
        <w:color w:val="434343"/>
      </w:rPr>
    </w:pPr>
    <w:r>
      <w:rPr>
        <w:color w:val="434343"/>
      </w:rPr>
      <w:t>Sheffield</w:t>
    </w:r>
  </w:p>
  <w:p w14:paraId="0F648D3C" w14:textId="60CFD630" w:rsidR="00A27A56" w:rsidRPr="00366B08" w:rsidRDefault="00366B08" w:rsidP="00366B08">
    <w:pPr>
      <w:pStyle w:val="Footer"/>
      <w:rPr>
        <w:color w:val="434343"/>
      </w:rPr>
    </w:pPr>
    <w:r>
      <w:rPr>
        <w:color w:val="434343"/>
      </w:rPr>
      <w:t>S17 4LG</w:t>
    </w:r>
    <w:r>
      <w:rPr>
        <w:color w:val="434343"/>
      </w:rPr>
      <w:tab/>
    </w:r>
    <w:r w:rsidRPr="0070094D">
      <w:rPr>
        <w:color w:val="434343"/>
      </w:rPr>
      <w:tab/>
    </w:r>
    <w:r w:rsidRPr="0070094D">
      <w:rPr>
        <w:rFonts w:cstheme="minorHAnsi"/>
        <w:color w:val="434343"/>
      </w:rPr>
      <w:t xml:space="preserve">Page </w:t>
    </w:r>
    <w:r w:rsidRPr="0070094D">
      <w:rPr>
        <w:rFonts w:cstheme="minorHAnsi"/>
        <w:color w:val="434343"/>
      </w:rPr>
      <w:fldChar w:fldCharType="begin"/>
    </w:r>
    <w:r w:rsidRPr="0070094D">
      <w:rPr>
        <w:rFonts w:cstheme="minorHAnsi"/>
        <w:color w:val="434343"/>
      </w:rPr>
      <w:instrText xml:space="preserve"> PAGE </w:instrText>
    </w:r>
    <w:r w:rsidRPr="0070094D">
      <w:rPr>
        <w:rFonts w:cstheme="minorHAnsi"/>
        <w:color w:val="434343"/>
      </w:rPr>
      <w:fldChar w:fldCharType="separate"/>
    </w:r>
    <w:r>
      <w:rPr>
        <w:rFonts w:cstheme="minorHAnsi"/>
        <w:color w:val="434343"/>
      </w:rPr>
      <w:t>1</w:t>
    </w:r>
    <w:r w:rsidRPr="0070094D">
      <w:rPr>
        <w:rFonts w:cstheme="minorHAnsi"/>
        <w:color w:val="434343"/>
      </w:rPr>
      <w:fldChar w:fldCharType="end"/>
    </w:r>
    <w:r w:rsidRPr="0070094D">
      <w:rPr>
        <w:rFonts w:cstheme="minorHAnsi"/>
        <w:color w:val="434343"/>
      </w:rPr>
      <w:t xml:space="preserve"> of </w:t>
    </w:r>
    <w:r w:rsidRPr="0070094D">
      <w:rPr>
        <w:rFonts w:cstheme="minorHAnsi"/>
        <w:color w:val="434343"/>
      </w:rPr>
      <w:fldChar w:fldCharType="begin"/>
    </w:r>
    <w:r w:rsidRPr="0070094D">
      <w:rPr>
        <w:rFonts w:cstheme="minorHAnsi"/>
        <w:color w:val="434343"/>
      </w:rPr>
      <w:instrText xml:space="preserve"> NUMPAGES </w:instrText>
    </w:r>
    <w:r w:rsidRPr="0070094D">
      <w:rPr>
        <w:rFonts w:cstheme="minorHAnsi"/>
        <w:color w:val="434343"/>
      </w:rPr>
      <w:fldChar w:fldCharType="separate"/>
    </w:r>
    <w:r>
      <w:rPr>
        <w:rFonts w:cstheme="minorHAnsi"/>
        <w:color w:val="434343"/>
      </w:rPr>
      <w:t>3</w:t>
    </w:r>
    <w:r w:rsidRPr="0070094D">
      <w:rPr>
        <w:rFonts w:cstheme="minorHAnsi"/>
        <w:color w:val="43434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BF091" w14:textId="77777777" w:rsidR="00A27A56" w:rsidRDefault="00A27A56" w:rsidP="00A27A56">
      <w:r>
        <w:separator/>
      </w:r>
    </w:p>
  </w:footnote>
  <w:footnote w:type="continuationSeparator" w:id="0">
    <w:p w14:paraId="78FAB575" w14:textId="77777777" w:rsidR="00A27A56" w:rsidRDefault="00A27A56" w:rsidP="00A27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C63CF" w14:textId="7200C835" w:rsidR="00740D8B" w:rsidRPr="0070094D" w:rsidRDefault="00740D8B" w:rsidP="00740D8B">
    <w:pPr>
      <w:pStyle w:val="Footer"/>
      <w:ind w:right="360"/>
      <w:rPr>
        <w:color w:val="434343"/>
      </w:rPr>
    </w:pPr>
    <w:r w:rsidRPr="0070094D">
      <w:rPr>
        <w:noProof/>
        <w:color w:val="434343"/>
      </w:rPr>
      <w:drawing>
        <wp:anchor distT="0" distB="0" distL="114300" distR="114300" simplePos="0" relativeHeight="251659264" behindDoc="1" locked="0" layoutInCell="1" allowOverlap="1" wp14:anchorId="39AE26FC" wp14:editId="691A74E6">
          <wp:simplePos x="0" y="0"/>
          <wp:positionH relativeFrom="column">
            <wp:posOffset>2035249</wp:posOffset>
          </wp:positionH>
          <wp:positionV relativeFrom="paragraph">
            <wp:posOffset>-14227</wp:posOffset>
          </wp:positionV>
          <wp:extent cx="1535689" cy="516367"/>
          <wp:effectExtent l="0" t="0" r="1270" b="4445"/>
          <wp:wrapNone/>
          <wp:docPr id="907766230"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6230"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5689" cy="516367"/>
                  </a:xfrm>
                  <a:prstGeom prst="rect">
                    <a:avLst/>
                  </a:prstGeom>
                </pic:spPr>
              </pic:pic>
            </a:graphicData>
          </a:graphic>
          <wp14:sizeRelH relativeFrom="page">
            <wp14:pctWidth>0</wp14:pctWidth>
          </wp14:sizeRelH>
          <wp14:sizeRelV relativeFrom="page">
            <wp14:pctHeight>0</wp14:pctHeight>
          </wp14:sizeRelV>
        </wp:anchor>
      </w:drawing>
    </w:r>
    <w:r w:rsidR="00052DF7">
      <w:rPr>
        <w:color w:val="434343"/>
      </w:rPr>
      <w:t>Appeals</w:t>
    </w:r>
    <w:r w:rsidR="004F3D83">
      <w:rPr>
        <w:color w:val="434343"/>
      </w:rPr>
      <w:t xml:space="preserve"> Policy</w:t>
    </w:r>
    <w:r w:rsidRPr="0070094D">
      <w:rPr>
        <w:color w:val="434343"/>
      </w:rPr>
      <w:tab/>
    </w:r>
    <w:r w:rsidRPr="0070094D">
      <w:rPr>
        <w:color w:val="434343"/>
      </w:rPr>
      <w:tab/>
    </w:r>
    <w:r w:rsidRPr="0070094D">
      <w:rPr>
        <w:rFonts w:cstheme="minorHAnsi"/>
        <w:color w:val="434343"/>
      </w:rPr>
      <w:t>Author: Partner</w:t>
    </w:r>
  </w:p>
  <w:p w14:paraId="00EDEFD1" w14:textId="69F91A6D" w:rsidR="00740D8B" w:rsidRPr="0070094D" w:rsidRDefault="00740D8B" w:rsidP="00740D8B">
    <w:pPr>
      <w:pStyle w:val="Footer"/>
      <w:rPr>
        <w:color w:val="434343"/>
      </w:rPr>
    </w:pPr>
    <w:r w:rsidRPr="0070094D">
      <w:rPr>
        <w:color w:val="434343"/>
      </w:rPr>
      <w:t xml:space="preserve">Version </w:t>
    </w:r>
    <w:r w:rsidR="00D95925">
      <w:rPr>
        <w:color w:val="434343"/>
      </w:rPr>
      <w:t>3</w:t>
    </w:r>
    <w:r w:rsidRPr="0070094D">
      <w:rPr>
        <w:color w:val="434343"/>
      </w:rPr>
      <w:tab/>
    </w:r>
    <w:r w:rsidRPr="0070094D">
      <w:rPr>
        <w:color w:val="434343"/>
      </w:rPr>
      <w:tab/>
      <w:t xml:space="preserve">Implemented on: </w:t>
    </w:r>
    <w:r w:rsidR="00366B08">
      <w:rPr>
        <w:color w:val="434343"/>
      </w:rPr>
      <w:t>1</w:t>
    </w:r>
    <w:r w:rsidRPr="0070094D">
      <w:rPr>
        <w:color w:val="434343"/>
      </w:rPr>
      <w:t xml:space="preserve"> </w:t>
    </w:r>
    <w:r w:rsidR="00366B08">
      <w:rPr>
        <w:color w:val="434343"/>
      </w:rPr>
      <w:t>Nov</w:t>
    </w:r>
    <w:r w:rsidRPr="0070094D">
      <w:rPr>
        <w:color w:val="434343"/>
      </w:rPr>
      <w:t xml:space="preserve"> 2023</w:t>
    </w:r>
  </w:p>
  <w:p w14:paraId="12272D51" w14:textId="4659A8FD" w:rsidR="00A27A56" w:rsidRPr="00740D8B" w:rsidRDefault="00026280" w:rsidP="00740D8B">
    <w:pPr>
      <w:pStyle w:val="Footer"/>
      <w:rPr>
        <w:color w:val="434343"/>
      </w:rPr>
    </w:pPr>
    <w:r>
      <w:rPr>
        <w:color w:val="434343"/>
      </w:rPr>
      <w:t xml:space="preserve">Doc </w:t>
    </w:r>
    <w:r w:rsidR="00C01CBA">
      <w:rPr>
        <w:color w:val="434343"/>
      </w:rPr>
      <w:t>Ref</w:t>
    </w:r>
    <w:r>
      <w:rPr>
        <w:color w:val="434343"/>
      </w:rPr>
      <w:t xml:space="preserve">: </w:t>
    </w:r>
    <w:r w:rsidR="00AC00A4">
      <w:rPr>
        <w:color w:val="434343"/>
      </w:rPr>
      <w:t>LTD003</w:t>
    </w:r>
    <w:r w:rsidR="00740D8B" w:rsidRPr="0070094D">
      <w:rPr>
        <w:color w:val="434343"/>
      </w:rPr>
      <w:tab/>
    </w:r>
    <w:r w:rsidR="00740D8B" w:rsidRPr="0070094D">
      <w:rPr>
        <w:color w:val="434343"/>
      </w:rPr>
      <w:tab/>
      <w:t>Date last reviewed:</w:t>
    </w:r>
    <w:r w:rsidR="00FB31EC">
      <w:rPr>
        <w:color w:val="434343"/>
      </w:rPr>
      <w:t xml:space="preserve"> </w:t>
    </w:r>
    <w:r w:rsidR="00D95925">
      <w:rPr>
        <w:color w:val="434343"/>
      </w:rPr>
      <w:t>1 Jul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1BEC"/>
    <w:multiLevelType w:val="hybridMultilevel"/>
    <w:tmpl w:val="F0187D70"/>
    <w:lvl w:ilvl="0" w:tplc="0809000F">
      <w:numFmt w:val="decimal"/>
      <w:lvlText w:val="%1."/>
      <w:lvlJc w:val="left"/>
      <w:pPr>
        <w:ind w:left="720" w:hanging="360"/>
      </w:pPr>
      <w:rPr>
        <w:rFonts w:hint="default"/>
      </w:rPr>
    </w:lvl>
    <w:lvl w:ilvl="1" w:tplc="C9C8733A">
      <w:numFmt w:val="bullet"/>
      <w:lvlText w:val="•"/>
      <w:lvlJc w:val="left"/>
      <w:pPr>
        <w:ind w:left="1800" w:hanging="72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5A241C"/>
    <w:multiLevelType w:val="hybridMultilevel"/>
    <w:tmpl w:val="21062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01140"/>
    <w:multiLevelType w:val="hybridMultilevel"/>
    <w:tmpl w:val="DB724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7C3ECD"/>
    <w:multiLevelType w:val="hybridMultilevel"/>
    <w:tmpl w:val="044C4A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51D7D11"/>
    <w:multiLevelType w:val="hybridMultilevel"/>
    <w:tmpl w:val="B01CA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FA7992"/>
    <w:multiLevelType w:val="hybridMultilevel"/>
    <w:tmpl w:val="2CE6E0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227F7E"/>
    <w:multiLevelType w:val="hybridMultilevel"/>
    <w:tmpl w:val="A78E6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7921A3"/>
    <w:multiLevelType w:val="hybridMultilevel"/>
    <w:tmpl w:val="2402B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4938D0"/>
    <w:multiLevelType w:val="hybridMultilevel"/>
    <w:tmpl w:val="8116A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12651F"/>
    <w:multiLevelType w:val="hybridMultilevel"/>
    <w:tmpl w:val="68C60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170269"/>
    <w:multiLevelType w:val="hybridMultilevel"/>
    <w:tmpl w:val="66927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A77BA3"/>
    <w:multiLevelType w:val="hybridMultilevel"/>
    <w:tmpl w:val="D0BA0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F8623A"/>
    <w:multiLevelType w:val="hybridMultilevel"/>
    <w:tmpl w:val="049650A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490B08"/>
    <w:multiLevelType w:val="hybridMultilevel"/>
    <w:tmpl w:val="A5ECC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960399"/>
    <w:multiLevelType w:val="multilevel"/>
    <w:tmpl w:val="CBE239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ED91D70"/>
    <w:multiLevelType w:val="hybridMultilevel"/>
    <w:tmpl w:val="C3F66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8445179">
    <w:abstractNumId w:val="0"/>
  </w:num>
  <w:num w:numId="2" w16cid:durableId="1053310820">
    <w:abstractNumId w:val="4"/>
  </w:num>
  <w:num w:numId="3" w16cid:durableId="942420297">
    <w:abstractNumId w:val="13"/>
  </w:num>
  <w:num w:numId="4" w16cid:durableId="1540898162">
    <w:abstractNumId w:val="10"/>
  </w:num>
  <w:num w:numId="5" w16cid:durableId="1586768764">
    <w:abstractNumId w:val="14"/>
  </w:num>
  <w:num w:numId="6" w16cid:durableId="635185364">
    <w:abstractNumId w:val="11"/>
  </w:num>
  <w:num w:numId="7" w16cid:durableId="2092769358">
    <w:abstractNumId w:val="1"/>
  </w:num>
  <w:num w:numId="8" w16cid:durableId="589506913">
    <w:abstractNumId w:val="5"/>
  </w:num>
  <w:num w:numId="9" w16cid:durableId="100270937">
    <w:abstractNumId w:val="3"/>
  </w:num>
  <w:num w:numId="10" w16cid:durableId="683016476">
    <w:abstractNumId w:val="6"/>
  </w:num>
  <w:num w:numId="11" w16cid:durableId="1920478496">
    <w:abstractNumId w:val="9"/>
  </w:num>
  <w:num w:numId="12" w16cid:durableId="1495485414">
    <w:abstractNumId w:val="12"/>
  </w:num>
  <w:num w:numId="13" w16cid:durableId="1042560995">
    <w:abstractNumId w:val="7"/>
  </w:num>
  <w:num w:numId="14" w16cid:durableId="426660472">
    <w:abstractNumId w:val="2"/>
  </w:num>
  <w:num w:numId="15" w16cid:durableId="852189350">
    <w:abstractNumId w:val="15"/>
  </w:num>
  <w:num w:numId="16" w16cid:durableId="20421697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47C"/>
    <w:rsid w:val="0001657B"/>
    <w:rsid w:val="00026280"/>
    <w:rsid w:val="00026C01"/>
    <w:rsid w:val="000365C1"/>
    <w:rsid w:val="00052DF7"/>
    <w:rsid w:val="0007065C"/>
    <w:rsid w:val="0008082E"/>
    <w:rsid w:val="00083332"/>
    <w:rsid w:val="0008613A"/>
    <w:rsid w:val="000940FD"/>
    <w:rsid w:val="000A6322"/>
    <w:rsid w:val="000B755E"/>
    <w:rsid w:val="000D42F7"/>
    <w:rsid w:val="000D647C"/>
    <w:rsid w:val="000E1018"/>
    <w:rsid w:val="000E699C"/>
    <w:rsid w:val="000F643E"/>
    <w:rsid w:val="00101A17"/>
    <w:rsid w:val="001113A9"/>
    <w:rsid w:val="00121CBE"/>
    <w:rsid w:val="00123A78"/>
    <w:rsid w:val="00132ED1"/>
    <w:rsid w:val="00137DD1"/>
    <w:rsid w:val="00151839"/>
    <w:rsid w:val="00151C65"/>
    <w:rsid w:val="00166540"/>
    <w:rsid w:val="001967BB"/>
    <w:rsid w:val="001A0015"/>
    <w:rsid w:val="001A580D"/>
    <w:rsid w:val="001B37C2"/>
    <w:rsid w:val="001E519C"/>
    <w:rsid w:val="001F04BB"/>
    <w:rsid w:val="00243EC0"/>
    <w:rsid w:val="00247198"/>
    <w:rsid w:val="00257EC7"/>
    <w:rsid w:val="00290A17"/>
    <w:rsid w:val="002C5D9C"/>
    <w:rsid w:val="00330993"/>
    <w:rsid w:val="00347DB7"/>
    <w:rsid w:val="00362B8A"/>
    <w:rsid w:val="00366B08"/>
    <w:rsid w:val="003737BB"/>
    <w:rsid w:val="003A3DB0"/>
    <w:rsid w:val="003A5AC0"/>
    <w:rsid w:val="003C7E24"/>
    <w:rsid w:val="003E4FC8"/>
    <w:rsid w:val="003F2C50"/>
    <w:rsid w:val="00400808"/>
    <w:rsid w:val="00406ADE"/>
    <w:rsid w:val="0041196C"/>
    <w:rsid w:val="00412A8F"/>
    <w:rsid w:val="004210E2"/>
    <w:rsid w:val="00467A71"/>
    <w:rsid w:val="00472201"/>
    <w:rsid w:val="00482791"/>
    <w:rsid w:val="004858C0"/>
    <w:rsid w:val="004A35F3"/>
    <w:rsid w:val="004B1E45"/>
    <w:rsid w:val="004E4028"/>
    <w:rsid w:val="004F3D83"/>
    <w:rsid w:val="005176C2"/>
    <w:rsid w:val="005217CD"/>
    <w:rsid w:val="0054036F"/>
    <w:rsid w:val="005432E0"/>
    <w:rsid w:val="00551280"/>
    <w:rsid w:val="00563A8E"/>
    <w:rsid w:val="00577BE6"/>
    <w:rsid w:val="0059427B"/>
    <w:rsid w:val="005A31FD"/>
    <w:rsid w:val="005A6761"/>
    <w:rsid w:val="005B2ADD"/>
    <w:rsid w:val="005F0A00"/>
    <w:rsid w:val="005F3054"/>
    <w:rsid w:val="005F7290"/>
    <w:rsid w:val="0063308A"/>
    <w:rsid w:val="00636559"/>
    <w:rsid w:val="00636D62"/>
    <w:rsid w:val="0064371D"/>
    <w:rsid w:val="00692F9A"/>
    <w:rsid w:val="006A08DD"/>
    <w:rsid w:val="006C7556"/>
    <w:rsid w:val="006D144F"/>
    <w:rsid w:val="006D1591"/>
    <w:rsid w:val="006E4CA9"/>
    <w:rsid w:val="006F6996"/>
    <w:rsid w:val="00726CE9"/>
    <w:rsid w:val="007314E6"/>
    <w:rsid w:val="00740D8B"/>
    <w:rsid w:val="00750CE1"/>
    <w:rsid w:val="007619DA"/>
    <w:rsid w:val="0076679F"/>
    <w:rsid w:val="00780430"/>
    <w:rsid w:val="0078592A"/>
    <w:rsid w:val="007A4621"/>
    <w:rsid w:val="007B4ECF"/>
    <w:rsid w:val="007C4DDF"/>
    <w:rsid w:val="007E2616"/>
    <w:rsid w:val="007E294D"/>
    <w:rsid w:val="007E3C83"/>
    <w:rsid w:val="007F6E90"/>
    <w:rsid w:val="00803DF5"/>
    <w:rsid w:val="00836EBA"/>
    <w:rsid w:val="00837A14"/>
    <w:rsid w:val="0084149E"/>
    <w:rsid w:val="008543BE"/>
    <w:rsid w:val="00861219"/>
    <w:rsid w:val="00861C97"/>
    <w:rsid w:val="00863E19"/>
    <w:rsid w:val="0088137C"/>
    <w:rsid w:val="00892E7D"/>
    <w:rsid w:val="008B72C3"/>
    <w:rsid w:val="008D3699"/>
    <w:rsid w:val="008F3F26"/>
    <w:rsid w:val="00924CD0"/>
    <w:rsid w:val="00931D6E"/>
    <w:rsid w:val="00932B58"/>
    <w:rsid w:val="00933A38"/>
    <w:rsid w:val="00941D4E"/>
    <w:rsid w:val="00955DBC"/>
    <w:rsid w:val="009640A2"/>
    <w:rsid w:val="009774FD"/>
    <w:rsid w:val="009826C3"/>
    <w:rsid w:val="00982C05"/>
    <w:rsid w:val="00990B73"/>
    <w:rsid w:val="009A2B48"/>
    <w:rsid w:val="009B46A6"/>
    <w:rsid w:val="009F4E7F"/>
    <w:rsid w:val="009F5FC5"/>
    <w:rsid w:val="00A00F16"/>
    <w:rsid w:val="00A06783"/>
    <w:rsid w:val="00A120C8"/>
    <w:rsid w:val="00A12297"/>
    <w:rsid w:val="00A15985"/>
    <w:rsid w:val="00A24FA9"/>
    <w:rsid w:val="00A27A56"/>
    <w:rsid w:val="00A352D4"/>
    <w:rsid w:val="00A52440"/>
    <w:rsid w:val="00A53425"/>
    <w:rsid w:val="00A54A13"/>
    <w:rsid w:val="00A657EE"/>
    <w:rsid w:val="00A660A9"/>
    <w:rsid w:val="00A80902"/>
    <w:rsid w:val="00A81494"/>
    <w:rsid w:val="00AB546F"/>
    <w:rsid w:val="00AB6EFC"/>
    <w:rsid w:val="00AC00A4"/>
    <w:rsid w:val="00AC56D3"/>
    <w:rsid w:val="00AC6B11"/>
    <w:rsid w:val="00AD533F"/>
    <w:rsid w:val="00AF7201"/>
    <w:rsid w:val="00B0068F"/>
    <w:rsid w:val="00B361EC"/>
    <w:rsid w:val="00B42189"/>
    <w:rsid w:val="00B639C7"/>
    <w:rsid w:val="00B82483"/>
    <w:rsid w:val="00B973B0"/>
    <w:rsid w:val="00BC71CD"/>
    <w:rsid w:val="00BD2A55"/>
    <w:rsid w:val="00C01CBA"/>
    <w:rsid w:val="00C11C5A"/>
    <w:rsid w:val="00C13994"/>
    <w:rsid w:val="00C27D94"/>
    <w:rsid w:val="00C30D90"/>
    <w:rsid w:val="00C376B9"/>
    <w:rsid w:val="00C7105E"/>
    <w:rsid w:val="00C755E2"/>
    <w:rsid w:val="00C76C20"/>
    <w:rsid w:val="00C86C27"/>
    <w:rsid w:val="00C97B7B"/>
    <w:rsid w:val="00CB1EB3"/>
    <w:rsid w:val="00CB448F"/>
    <w:rsid w:val="00CC4295"/>
    <w:rsid w:val="00CD0CB0"/>
    <w:rsid w:val="00CD747A"/>
    <w:rsid w:val="00CF1473"/>
    <w:rsid w:val="00D018ED"/>
    <w:rsid w:val="00D04B41"/>
    <w:rsid w:val="00D04F22"/>
    <w:rsid w:val="00D163A6"/>
    <w:rsid w:val="00D25B1D"/>
    <w:rsid w:val="00D40F9B"/>
    <w:rsid w:val="00D5022F"/>
    <w:rsid w:val="00D62816"/>
    <w:rsid w:val="00D72AEF"/>
    <w:rsid w:val="00D80436"/>
    <w:rsid w:val="00D925F1"/>
    <w:rsid w:val="00D95925"/>
    <w:rsid w:val="00DC5CD6"/>
    <w:rsid w:val="00DD60B8"/>
    <w:rsid w:val="00DE1C62"/>
    <w:rsid w:val="00DE29EE"/>
    <w:rsid w:val="00E23A85"/>
    <w:rsid w:val="00E4220E"/>
    <w:rsid w:val="00E71DE5"/>
    <w:rsid w:val="00E8196C"/>
    <w:rsid w:val="00E94899"/>
    <w:rsid w:val="00E97A74"/>
    <w:rsid w:val="00E97DD0"/>
    <w:rsid w:val="00EB28E6"/>
    <w:rsid w:val="00F15DAA"/>
    <w:rsid w:val="00F338CB"/>
    <w:rsid w:val="00F440F4"/>
    <w:rsid w:val="00F50C54"/>
    <w:rsid w:val="00F62B8A"/>
    <w:rsid w:val="00F672A7"/>
    <w:rsid w:val="00F805D5"/>
    <w:rsid w:val="00F9722C"/>
    <w:rsid w:val="00FB31EC"/>
    <w:rsid w:val="00FC6987"/>
    <w:rsid w:val="00FE0EF2"/>
    <w:rsid w:val="00FF7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A5E64"/>
  <w15:chartTrackingRefBased/>
  <w15:docId w15:val="{0EFC6243-9313-FB4A-B584-88A2D4AF7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A56"/>
    <w:pPr>
      <w:tabs>
        <w:tab w:val="center" w:pos="4513"/>
        <w:tab w:val="right" w:pos="9026"/>
      </w:tabs>
    </w:pPr>
  </w:style>
  <w:style w:type="character" w:customStyle="1" w:styleId="HeaderChar">
    <w:name w:val="Header Char"/>
    <w:basedOn w:val="DefaultParagraphFont"/>
    <w:link w:val="Header"/>
    <w:uiPriority w:val="99"/>
    <w:rsid w:val="00A27A56"/>
  </w:style>
  <w:style w:type="paragraph" w:styleId="Footer">
    <w:name w:val="footer"/>
    <w:basedOn w:val="Normal"/>
    <w:link w:val="FooterChar"/>
    <w:uiPriority w:val="99"/>
    <w:unhideWhenUsed/>
    <w:rsid w:val="00A27A56"/>
    <w:pPr>
      <w:tabs>
        <w:tab w:val="center" w:pos="4513"/>
        <w:tab w:val="right" w:pos="9026"/>
      </w:tabs>
    </w:pPr>
  </w:style>
  <w:style w:type="character" w:customStyle="1" w:styleId="FooterChar">
    <w:name w:val="Footer Char"/>
    <w:basedOn w:val="DefaultParagraphFont"/>
    <w:link w:val="Footer"/>
    <w:uiPriority w:val="99"/>
    <w:rsid w:val="00A27A56"/>
  </w:style>
  <w:style w:type="table" w:styleId="TableGrid">
    <w:name w:val="Table Grid"/>
    <w:basedOn w:val="TableNormal"/>
    <w:uiPriority w:val="39"/>
    <w:rsid w:val="00A81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2AEF"/>
    <w:pPr>
      <w:ind w:left="720"/>
      <w:contextualSpacing/>
    </w:pPr>
  </w:style>
  <w:style w:type="character" w:styleId="Hyperlink">
    <w:name w:val="Hyperlink"/>
    <w:basedOn w:val="DefaultParagraphFont"/>
    <w:uiPriority w:val="99"/>
    <w:unhideWhenUsed/>
    <w:rsid w:val="00892E7D"/>
    <w:rPr>
      <w:color w:val="0563C1" w:themeColor="hyperlink"/>
      <w:u w:val="single"/>
    </w:rPr>
  </w:style>
  <w:style w:type="character" w:styleId="UnresolvedMention">
    <w:name w:val="Unresolved Mention"/>
    <w:basedOn w:val="DefaultParagraphFont"/>
    <w:uiPriority w:val="99"/>
    <w:semiHidden/>
    <w:unhideWhenUsed/>
    <w:rsid w:val="00892E7D"/>
    <w:rPr>
      <w:color w:val="605E5C"/>
      <w:shd w:val="clear" w:color="auto" w:fill="E1DFDD"/>
    </w:rPr>
  </w:style>
  <w:style w:type="character" w:customStyle="1" w:styleId="normaltextrun">
    <w:name w:val="normaltextrun"/>
    <w:basedOn w:val="DefaultParagraphFont"/>
    <w:rsid w:val="00931D6E"/>
  </w:style>
  <w:style w:type="character" w:customStyle="1" w:styleId="eop">
    <w:name w:val="eop"/>
    <w:basedOn w:val="DefaultParagraphFont"/>
    <w:rsid w:val="00931D6E"/>
  </w:style>
  <w:style w:type="paragraph" w:customStyle="1" w:styleId="paragraph">
    <w:name w:val="paragraph"/>
    <w:basedOn w:val="Normal"/>
    <w:rsid w:val="00931D6E"/>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mpliance@iql.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ighfieldqualification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aining@arkergroup.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training@arkergrou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ompliance@iql.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4F90DE0150B4CA0F071280138C453" ma:contentTypeVersion="11" ma:contentTypeDescription="Create a new document." ma:contentTypeScope="" ma:versionID="74b5f841b9fff2187dcef5c67aa24b5e">
  <xsd:schema xmlns:xsd="http://www.w3.org/2001/XMLSchema" xmlns:xs="http://www.w3.org/2001/XMLSchema" xmlns:p="http://schemas.microsoft.com/office/2006/metadata/properties" xmlns:ns2="33413b41-dd33-417e-95dd-07dfb337386b" xmlns:ns3="a8acd42c-04a9-453b-8a23-d6a867d5c3a1" targetNamespace="http://schemas.microsoft.com/office/2006/metadata/properties" ma:root="true" ma:fieldsID="2365e6e7f7810c4723b7bd1ee286d487" ns2:_="" ns3:_="">
    <xsd:import namespace="33413b41-dd33-417e-95dd-07dfb337386b"/>
    <xsd:import namespace="a8acd42c-04a9-453b-8a23-d6a867d5c3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13b41-dd33-417e-95dd-07dfb3373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d9efc2a-8c9f-494f-a44f-6c038593825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acd42c-04a9-453b-8a23-d6a867d5c3a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aa68179-70ce-48a1-a2c2-8d3f66a1a95f}" ma:internalName="TaxCatchAll" ma:showField="CatchAllData" ma:web="a8acd42c-04a9-453b-8a23-d6a867d5c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8acd42c-04a9-453b-8a23-d6a867d5c3a1" xsi:nil="true"/>
    <lcf76f155ced4ddcb4097134ff3c332f xmlns="33413b41-dd33-417e-95dd-07dfb33738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9E3BC5-9FBF-4BFE-B7A7-4DC66570D5E6}"/>
</file>

<file path=customXml/itemProps2.xml><?xml version="1.0" encoding="utf-8"?>
<ds:datastoreItem xmlns:ds="http://schemas.openxmlformats.org/officeDocument/2006/customXml" ds:itemID="{1E68F7AB-45A1-4F2C-A3A6-32B0411B3F12}">
  <ds:schemaRefs>
    <ds:schemaRef ds:uri="http://schemas.microsoft.com/sharepoint/v3/contenttype/forms"/>
  </ds:schemaRefs>
</ds:datastoreItem>
</file>

<file path=customXml/itemProps3.xml><?xml version="1.0" encoding="utf-8"?>
<ds:datastoreItem xmlns:ds="http://schemas.openxmlformats.org/officeDocument/2006/customXml" ds:itemID="{7A864A03-4527-4735-9706-3976D4A3E63B}">
  <ds:schemaRefs>
    <ds:schemaRef ds:uri="http://schemas.microsoft.com/office/2006/metadata/properties"/>
    <ds:schemaRef ds:uri="http://schemas.microsoft.com/office/infopath/2007/PartnerControls"/>
    <ds:schemaRef ds:uri="a8acd42c-04a9-453b-8a23-d6a867d5c3a1"/>
    <ds:schemaRef ds:uri="e4b00be5-ad8d-49ba-a8a4-df3af5de3881"/>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1198</Words>
  <Characters>6829</Characters>
  <Application>Microsoft Office Word</Application>
  <DocSecurity>0</DocSecurity>
  <Lines>56</Lines>
  <Paragraphs>16</Paragraphs>
  <ScaleCrop>false</ScaleCrop>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Barker</dc:creator>
  <cp:keywords/>
  <dc:description/>
  <cp:lastModifiedBy>Office</cp:lastModifiedBy>
  <cp:revision>19</cp:revision>
  <dcterms:created xsi:type="dcterms:W3CDTF">2025-07-01T16:15:00Z</dcterms:created>
  <dcterms:modified xsi:type="dcterms:W3CDTF">2025-08-20T15:17:00Z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0x01010092A4F90DE0150B4CA0F071280138C453</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