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A655" w14:textId="77777777" w:rsidR="00593CC6" w:rsidRDefault="00593CC6" w:rsidP="00184EAF">
      <w:pPr>
        <w:pStyle w:val="ListParagraph"/>
        <w:spacing w:line="240" w:lineRule="auto"/>
        <w:ind w:left="0"/>
        <w:jc w:val="both"/>
        <w:rPr>
          <w:b/>
          <w:bCs/>
          <w:color w:val="434343"/>
          <w:u w:val="single"/>
        </w:rPr>
      </w:pPr>
    </w:p>
    <w:p w14:paraId="2756BA85" w14:textId="3771F46C" w:rsidR="00741B12" w:rsidRPr="00076217" w:rsidRDefault="00741B12" w:rsidP="00184EAF">
      <w:pPr>
        <w:pStyle w:val="ListParagraph"/>
        <w:spacing w:line="240" w:lineRule="auto"/>
        <w:ind w:left="0"/>
        <w:jc w:val="both"/>
        <w:rPr>
          <w:b/>
          <w:bCs/>
          <w:color w:val="434343"/>
          <w:u w:val="single"/>
        </w:rPr>
      </w:pPr>
      <w:r w:rsidRPr="00D72AEF">
        <w:rPr>
          <w:b/>
          <w:bCs/>
          <w:color w:val="434343"/>
          <w:u w:val="single"/>
        </w:rPr>
        <w:t>Summary of Changes and Review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35"/>
        <w:gridCol w:w="1800"/>
        <w:gridCol w:w="1981"/>
        <w:gridCol w:w="1321"/>
        <w:gridCol w:w="3928"/>
      </w:tblGrid>
      <w:tr w:rsidR="00741B12" w14:paraId="776378FF" w14:textId="77777777" w:rsidTr="0047557E">
        <w:tc>
          <w:tcPr>
            <w:tcW w:w="1035" w:type="dxa"/>
            <w:shd w:val="clear" w:color="auto" w:fill="B49C7A"/>
          </w:tcPr>
          <w:p w14:paraId="453E519D" w14:textId="77777777" w:rsidR="00741B12" w:rsidRPr="003B1361" w:rsidRDefault="00741B12" w:rsidP="00CD4A30">
            <w:pPr>
              <w:jc w:val="both"/>
              <w:rPr>
                <w:b/>
                <w:bCs/>
                <w:color w:val="FFFFFF" w:themeColor="background1"/>
              </w:rPr>
            </w:pPr>
            <w:r w:rsidRPr="003B1361">
              <w:rPr>
                <w:b/>
                <w:bCs/>
                <w:color w:val="FFFFFF" w:themeColor="background1"/>
              </w:rPr>
              <w:t>Version Number</w:t>
            </w:r>
          </w:p>
        </w:tc>
        <w:tc>
          <w:tcPr>
            <w:tcW w:w="1800" w:type="dxa"/>
            <w:shd w:val="clear" w:color="auto" w:fill="B49C7A"/>
          </w:tcPr>
          <w:p w14:paraId="02CDD0F3" w14:textId="77777777" w:rsidR="00741B12" w:rsidRPr="003B1361" w:rsidRDefault="00741B12" w:rsidP="00CD4A30">
            <w:pPr>
              <w:jc w:val="both"/>
              <w:rPr>
                <w:b/>
                <w:bCs/>
                <w:color w:val="FFFFFF" w:themeColor="background1"/>
              </w:rPr>
            </w:pPr>
            <w:r w:rsidRPr="003B1361">
              <w:rPr>
                <w:b/>
                <w:bCs/>
                <w:color w:val="FFFFFF" w:themeColor="background1"/>
              </w:rPr>
              <w:t>Date of Change/Review</w:t>
            </w:r>
          </w:p>
        </w:tc>
        <w:tc>
          <w:tcPr>
            <w:tcW w:w="1985" w:type="dxa"/>
            <w:shd w:val="clear" w:color="auto" w:fill="B49C7A"/>
          </w:tcPr>
          <w:p w14:paraId="2CD5B6BF" w14:textId="77777777" w:rsidR="00741B12" w:rsidRPr="003B1361" w:rsidRDefault="00741B12" w:rsidP="00CD4A30">
            <w:pPr>
              <w:jc w:val="both"/>
              <w:rPr>
                <w:b/>
                <w:bCs/>
                <w:color w:val="FFFFFF" w:themeColor="background1"/>
              </w:rPr>
            </w:pPr>
            <w:r w:rsidRPr="003B1361">
              <w:rPr>
                <w:b/>
                <w:bCs/>
                <w:color w:val="FFFFFF" w:themeColor="background1"/>
              </w:rPr>
              <w:t>Review / Changes Made By</w:t>
            </w:r>
          </w:p>
        </w:tc>
        <w:tc>
          <w:tcPr>
            <w:tcW w:w="1309" w:type="dxa"/>
            <w:shd w:val="clear" w:color="auto" w:fill="B49C7A"/>
          </w:tcPr>
          <w:p w14:paraId="1DD08745" w14:textId="77777777" w:rsidR="00741B12" w:rsidRPr="003B1361" w:rsidRDefault="00741B12" w:rsidP="00CD4A30">
            <w:pPr>
              <w:jc w:val="both"/>
              <w:rPr>
                <w:b/>
                <w:bCs/>
                <w:color w:val="FFFFFF" w:themeColor="background1"/>
              </w:rPr>
            </w:pPr>
            <w:r w:rsidRPr="003B1361">
              <w:rPr>
                <w:b/>
                <w:bCs/>
                <w:color w:val="FFFFFF" w:themeColor="background1"/>
              </w:rPr>
              <w:t>Authorised By</w:t>
            </w:r>
          </w:p>
        </w:tc>
        <w:tc>
          <w:tcPr>
            <w:tcW w:w="3936" w:type="dxa"/>
            <w:shd w:val="clear" w:color="auto" w:fill="B49C7A"/>
          </w:tcPr>
          <w:p w14:paraId="63E2304A" w14:textId="77777777" w:rsidR="00741B12" w:rsidRPr="003B1361" w:rsidRDefault="00741B12" w:rsidP="00CD4A30">
            <w:pPr>
              <w:jc w:val="both"/>
              <w:rPr>
                <w:b/>
                <w:bCs/>
                <w:color w:val="FFFFFF" w:themeColor="background1"/>
              </w:rPr>
            </w:pPr>
            <w:r w:rsidRPr="003B1361">
              <w:rPr>
                <w:b/>
                <w:bCs/>
                <w:color w:val="FFFFFF" w:themeColor="background1"/>
              </w:rPr>
              <w:t>Description of Changes/Review</w:t>
            </w:r>
          </w:p>
        </w:tc>
      </w:tr>
      <w:tr w:rsidR="00741B12" w14:paraId="4D470EAB" w14:textId="77777777" w:rsidTr="0047557E">
        <w:tc>
          <w:tcPr>
            <w:tcW w:w="1035" w:type="dxa"/>
          </w:tcPr>
          <w:p w14:paraId="3E25C0FA" w14:textId="77777777" w:rsidR="00741B12" w:rsidRPr="00982C05" w:rsidRDefault="00741B12" w:rsidP="00CB6F66">
            <w:pPr>
              <w:jc w:val="center"/>
              <w:rPr>
                <w:color w:val="434343"/>
              </w:rPr>
            </w:pPr>
            <w:r w:rsidRPr="00982C05">
              <w:rPr>
                <w:color w:val="434343"/>
              </w:rPr>
              <w:t>1</w:t>
            </w:r>
          </w:p>
        </w:tc>
        <w:tc>
          <w:tcPr>
            <w:tcW w:w="1800" w:type="dxa"/>
          </w:tcPr>
          <w:p w14:paraId="496917B4" w14:textId="0B9E3D54" w:rsidR="00741B12" w:rsidRPr="00982C05" w:rsidRDefault="000438F4" w:rsidP="00CD4A30">
            <w:pPr>
              <w:jc w:val="both"/>
              <w:rPr>
                <w:color w:val="434343"/>
              </w:rPr>
            </w:pPr>
            <w:r>
              <w:rPr>
                <w:color w:val="434343"/>
              </w:rPr>
              <w:t>August 2025</w:t>
            </w:r>
          </w:p>
        </w:tc>
        <w:tc>
          <w:tcPr>
            <w:tcW w:w="1985" w:type="dxa"/>
          </w:tcPr>
          <w:p w14:paraId="5FBF28E8" w14:textId="1F795C8D" w:rsidR="00741B12" w:rsidRPr="00982C05" w:rsidRDefault="00982285" w:rsidP="00CD4A30">
            <w:pPr>
              <w:jc w:val="both"/>
              <w:rPr>
                <w:color w:val="434343"/>
              </w:rPr>
            </w:pPr>
            <w:r>
              <w:rPr>
                <w:color w:val="434343"/>
              </w:rPr>
              <w:t>Partner</w:t>
            </w:r>
          </w:p>
        </w:tc>
        <w:tc>
          <w:tcPr>
            <w:tcW w:w="1309" w:type="dxa"/>
          </w:tcPr>
          <w:p w14:paraId="378F09F6" w14:textId="65173EB4" w:rsidR="00844F34" w:rsidRPr="00982C05" w:rsidRDefault="00982285" w:rsidP="00CD4A30">
            <w:pPr>
              <w:jc w:val="both"/>
              <w:rPr>
                <w:color w:val="434343"/>
              </w:rPr>
            </w:pPr>
            <w:r>
              <w:rPr>
                <w:color w:val="434343"/>
              </w:rPr>
              <w:t>Partner</w:t>
            </w:r>
          </w:p>
        </w:tc>
        <w:tc>
          <w:tcPr>
            <w:tcW w:w="3936" w:type="dxa"/>
          </w:tcPr>
          <w:p w14:paraId="057DFC5C" w14:textId="33ED67D4" w:rsidR="00741B12" w:rsidRPr="00982C05" w:rsidRDefault="00982285" w:rsidP="00CD4A30">
            <w:pPr>
              <w:jc w:val="both"/>
              <w:rPr>
                <w:color w:val="434343"/>
              </w:rPr>
            </w:pPr>
            <w:r>
              <w:rPr>
                <w:color w:val="434343"/>
              </w:rPr>
              <w:t>First Version</w:t>
            </w:r>
          </w:p>
        </w:tc>
      </w:tr>
    </w:tbl>
    <w:p w14:paraId="08E10CAC" w14:textId="77777777" w:rsidR="00184EAF" w:rsidRPr="00184EAF" w:rsidRDefault="00184EAF" w:rsidP="00184EAF">
      <w:pPr>
        <w:spacing w:line="240" w:lineRule="auto"/>
        <w:jc w:val="both"/>
        <w:rPr>
          <w:b/>
          <w:bCs/>
          <w:color w:val="434343"/>
        </w:rPr>
      </w:pPr>
    </w:p>
    <w:p w14:paraId="62942D27" w14:textId="70E89F64" w:rsidR="006903D0" w:rsidRDefault="00076217" w:rsidP="006903D0">
      <w:pPr>
        <w:pStyle w:val="ListParagraph"/>
        <w:numPr>
          <w:ilvl w:val="0"/>
          <w:numId w:val="7"/>
        </w:numPr>
        <w:spacing w:line="240" w:lineRule="auto"/>
        <w:ind w:left="720"/>
        <w:jc w:val="both"/>
        <w:rPr>
          <w:b/>
          <w:bCs/>
          <w:color w:val="434343"/>
          <w:u w:val="single"/>
        </w:rPr>
      </w:pPr>
      <w:r w:rsidRPr="006903D0">
        <w:rPr>
          <w:b/>
          <w:bCs/>
          <w:color w:val="434343"/>
          <w:u w:val="single"/>
        </w:rPr>
        <w:t>P</w:t>
      </w:r>
      <w:r w:rsidR="008F4B43" w:rsidRPr="006903D0">
        <w:rPr>
          <w:b/>
          <w:bCs/>
          <w:color w:val="434343"/>
          <w:u w:val="single"/>
        </w:rPr>
        <w:t>ayment</w:t>
      </w:r>
    </w:p>
    <w:p w14:paraId="01C8DF2F" w14:textId="77777777" w:rsidR="00982D29" w:rsidRPr="00811D1F" w:rsidRDefault="00982D29" w:rsidP="00982D29">
      <w:pPr>
        <w:pStyle w:val="ListParagraph"/>
        <w:spacing w:line="240" w:lineRule="auto"/>
        <w:jc w:val="both"/>
        <w:rPr>
          <w:b/>
          <w:bCs/>
          <w:color w:val="434343"/>
          <w:u w:val="single"/>
        </w:rPr>
      </w:pPr>
    </w:p>
    <w:p w14:paraId="7360BB45" w14:textId="0DAA79D5" w:rsidR="008F4B43" w:rsidRPr="006903D0" w:rsidRDefault="006903D0" w:rsidP="006903D0">
      <w:pPr>
        <w:pStyle w:val="ListParagraph"/>
        <w:numPr>
          <w:ilvl w:val="0"/>
          <w:numId w:val="8"/>
        </w:numPr>
        <w:spacing w:line="240" w:lineRule="auto"/>
        <w:jc w:val="both"/>
        <w:rPr>
          <w:b/>
          <w:bCs/>
          <w:color w:val="434343"/>
        </w:rPr>
      </w:pPr>
      <w:r>
        <w:rPr>
          <w:color w:val="434343"/>
        </w:rPr>
        <w:t>Payment for training courses must be made at the time of booking.</w:t>
      </w:r>
    </w:p>
    <w:p w14:paraId="79946CBE" w14:textId="0CA5BF98" w:rsidR="006903D0" w:rsidRPr="00BA0319" w:rsidRDefault="006903D0" w:rsidP="006903D0">
      <w:pPr>
        <w:pStyle w:val="ListParagraph"/>
        <w:numPr>
          <w:ilvl w:val="0"/>
          <w:numId w:val="8"/>
        </w:numPr>
        <w:spacing w:line="240" w:lineRule="auto"/>
        <w:jc w:val="both"/>
        <w:rPr>
          <w:b/>
          <w:bCs/>
          <w:color w:val="434343"/>
        </w:rPr>
      </w:pPr>
      <w:r>
        <w:rPr>
          <w:color w:val="434343"/>
        </w:rPr>
        <w:t>For co</w:t>
      </w:r>
      <w:r w:rsidR="00BA0319">
        <w:rPr>
          <w:color w:val="434343"/>
        </w:rPr>
        <w:t>rporate</w:t>
      </w:r>
      <w:r>
        <w:rPr>
          <w:color w:val="434343"/>
        </w:rPr>
        <w:t xml:space="preserve"> bookings, </w:t>
      </w:r>
      <w:r w:rsidR="00BA0319">
        <w:rPr>
          <w:color w:val="434343"/>
        </w:rPr>
        <w:t>payments must be made within 30 days of the invoice being sent.</w:t>
      </w:r>
    </w:p>
    <w:p w14:paraId="078C3001" w14:textId="17769A99" w:rsidR="00BA0319" w:rsidRPr="00BA0319" w:rsidRDefault="00BA0319" w:rsidP="006903D0">
      <w:pPr>
        <w:pStyle w:val="ListParagraph"/>
        <w:numPr>
          <w:ilvl w:val="0"/>
          <w:numId w:val="8"/>
        </w:numPr>
        <w:spacing w:line="240" w:lineRule="auto"/>
        <w:jc w:val="both"/>
        <w:rPr>
          <w:b/>
          <w:bCs/>
          <w:color w:val="434343"/>
        </w:rPr>
      </w:pPr>
      <w:r>
        <w:rPr>
          <w:color w:val="434343"/>
        </w:rPr>
        <w:t>Bookings are not secure until payment is received, and funds cleared.</w:t>
      </w:r>
    </w:p>
    <w:p w14:paraId="22B77820" w14:textId="77777777" w:rsidR="00BA0319" w:rsidRPr="00BA0319" w:rsidRDefault="00BA0319" w:rsidP="00BA0319">
      <w:pPr>
        <w:spacing w:line="240" w:lineRule="auto"/>
        <w:jc w:val="both"/>
        <w:rPr>
          <w:b/>
          <w:bCs/>
          <w:color w:val="434343"/>
        </w:rPr>
      </w:pPr>
    </w:p>
    <w:p w14:paraId="3C3EE02F" w14:textId="48C920E7" w:rsidR="00630332" w:rsidRPr="00811D1F" w:rsidRDefault="00630332" w:rsidP="00630332">
      <w:pPr>
        <w:pStyle w:val="ListParagraph"/>
        <w:numPr>
          <w:ilvl w:val="0"/>
          <w:numId w:val="7"/>
        </w:numPr>
        <w:spacing w:line="240" w:lineRule="auto"/>
        <w:ind w:left="720"/>
        <w:jc w:val="both"/>
        <w:rPr>
          <w:b/>
          <w:bCs/>
          <w:color w:val="434343"/>
          <w:u w:val="single"/>
        </w:rPr>
      </w:pPr>
      <w:r>
        <w:rPr>
          <w:b/>
          <w:bCs/>
          <w:color w:val="434343"/>
          <w:u w:val="single"/>
        </w:rPr>
        <w:t xml:space="preserve">Cancellation </w:t>
      </w:r>
      <w:r w:rsidR="009E2A7E">
        <w:rPr>
          <w:b/>
          <w:bCs/>
          <w:color w:val="434343"/>
          <w:u w:val="single"/>
        </w:rPr>
        <w:t xml:space="preserve">&amp; Refunds </w:t>
      </w:r>
      <w:r>
        <w:rPr>
          <w:b/>
          <w:bCs/>
          <w:color w:val="434343"/>
          <w:u w:val="single"/>
        </w:rPr>
        <w:t>Policy</w:t>
      </w:r>
    </w:p>
    <w:p w14:paraId="5475ED11" w14:textId="3F84ED06" w:rsidR="00630332" w:rsidRPr="00555DB1" w:rsidRDefault="00630332" w:rsidP="00555DB1">
      <w:pPr>
        <w:spacing w:line="240" w:lineRule="auto"/>
        <w:jc w:val="both"/>
        <w:rPr>
          <w:color w:val="434343"/>
        </w:rPr>
      </w:pPr>
      <w:r w:rsidRPr="00555DB1">
        <w:rPr>
          <w:color w:val="434343"/>
        </w:rPr>
        <w:t xml:space="preserve">If you </w:t>
      </w:r>
      <w:proofErr w:type="gramStart"/>
      <w:r w:rsidRPr="00555DB1">
        <w:rPr>
          <w:color w:val="434343"/>
        </w:rPr>
        <w:t>have to</w:t>
      </w:r>
      <w:proofErr w:type="gramEnd"/>
      <w:r w:rsidRPr="00555DB1">
        <w:rPr>
          <w:color w:val="434343"/>
        </w:rPr>
        <w:t xml:space="preserve"> cancel your place on a course, the following charges will apply:</w:t>
      </w:r>
    </w:p>
    <w:p w14:paraId="23C4AF24" w14:textId="77777777" w:rsidR="00630332" w:rsidRDefault="00630332" w:rsidP="00630332">
      <w:pPr>
        <w:pStyle w:val="ListParagraph"/>
        <w:spacing w:line="240" w:lineRule="auto"/>
        <w:jc w:val="both"/>
        <w:rPr>
          <w:color w:val="434343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253"/>
      </w:tblGrid>
      <w:tr w:rsidR="00373E47" w14:paraId="1FCE2C75" w14:textId="77777777" w:rsidTr="00871513">
        <w:tc>
          <w:tcPr>
            <w:tcW w:w="4536" w:type="dxa"/>
          </w:tcPr>
          <w:p w14:paraId="15B06F87" w14:textId="4EE2527F" w:rsidR="00373E47" w:rsidRDefault="00373E47" w:rsidP="00630332">
            <w:pPr>
              <w:pStyle w:val="ListParagraph"/>
              <w:ind w:left="0"/>
              <w:jc w:val="both"/>
              <w:rPr>
                <w:color w:val="434343"/>
              </w:rPr>
            </w:pPr>
            <w:r>
              <w:rPr>
                <w:color w:val="434343"/>
              </w:rPr>
              <w:t xml:space="preserve">Less than </w:t>
            </w:r>
            <w:r w:rsidRPr="0027329F">
              <w:rPr>
                <w:b/>
                <w:bCs/>
                <w:color w:val="434343"/>
              </w:rPr>
              <w:t xml:space="preserve">2 </w:t>
            </w:r>
            <w:r w:rsidR="0027329F" w:rsidRPr="0027329F">
              <w:rPr>
                <w:b/>
                <w:bCs/>
                <w:color w:val="434343"/>
              </w:rPr>
              <w:t>weeks</w:t>
            </w:r>
            <w:r w:rsidR="0027329F">
              <w:rPr>
                <w:color w:val="434343"/>
              </w:rPr>
              <w:t>’ notice</w:t>
            </w:r>
            <w:r>
              <w:rPr>
                <w:color w:val="434343"/>
              </w:rPr>
              <w:t xml:space="preserve"> given prior to first day of course:</w:t>
            </w:r>
          </w:p>
          <w:p w14:paraId="02EAC815" w14:textId="546809F5" w:rsidR="0027329F" w:rsidRDefault="0027329F" w:rsidP="00630332">
            <w:pPr>
              <w:pStyle w:val="ListParagraph"/>
              <w:ind w:left="0"/>
              <w:jc w:val="both"/>
              <w:rPr>
                <w:color w:val="434343"/>
              </w:rPr>
            </w:pPr>
          </w:p>
        </w:tc>
        <w:tc>
          <w:tcPr>
            <w:tcW w:w="4253" w:type="dxa"/>
          </w:tcPr>
          <w:p w14:paraId="040A7532" w14:textId="5DB25F8C" w:rsidR="00373E47" w:rsidRDefault="00871513" w:rsidP="00630332">
            <w:pPr>
              <w:pStyle w:val="ListParagraph"/>
              <w:ind w:left="0"/>
              <w:jc w:val="both"/>
              <w:rPr>
                <w:color w:val="434343"/>
              </w:rPr>
            </w:pPr>
            <w:r>
              <w:rPr>
                <w:color w:val="434343"/>
              </w:rPr>
              <w:t>Full cost applies.</w:t>
            </w:r>
          </w:p>
        </w:tc>
      </w:tr>
      <w:tr w:rsidR="00373E47" w14:paraId="48BD251B" w14:textId="77777777" w:rsidTr="00871513">
        <w:tc>
          <w:tcPr>
            <w:tcW w:w="4536" w:type="dxa"/>
          </w:tcPr>
          <w:p w14:paraId="76831EDA" w14:textId="7FC2D437" w:rsidR="00373E47" w:rsidRDefault="00871513" w:rsidP="00630332">
            <w:pPr>
              <w:pStyle w:val="ListParagraph"/>
              <w:ind w:left="0"/>
              <w:jc w:val="both"/>
              <w:rPr>
                <w:color w:val="434343"/>
              </w:rPr>
            </w:pPr>
            <w:r>
              <w:rPr>
                <w:color w:val="434343"/>
              </w:rPr>
              <w:t xml:space="preserve">More than </w:t>
            </w:r>
            <w:r w:rsidRPr="0027329F">
              <w:rPr>
                <w:b/>
                <w:bCs/>
                <w:color w:val="434343"/>
              </w:rPr>
              <w:t xml:space="preserve">2 </w:t>
            </w:r>
            <w:r w:rsidR="0027329F" w:rsidRPr="0027329F">
              <w:rPr>
                <w:b/>
                <w:bCs/>
                <w:color w:val="434343"/>
              </w:rPr>
              <w:t>weeks</w:t>
            </w:r>
            <w:r w:rsidR="0027329F">
              <w:rPr>
                <w:color w:val="434343"/>
              </w:rPr>
              <w:t>’ notice</w:t>
            </w:r>
            <w:r>
              <w:rPr>
                <w:color w:val="434343"/>
              </w:rPr>
              <w:t xml:space="preserve"> given but less than </w:t>
            </w:r>
            <w:r w:rsidRPr="0027329F">
              <w:rPr>
                <w:b/>
                <w:bCs/>
                <w:color w:val="434343"/>
              </w:rPr>
              <w:t xml:space="preserve">4 </w:t>
            </w:r>
            <w:r w:rsidR="00455BC3" w:rsidRPr="0027329F">
              <w:rPr>
                <w:b/>
                <w:bCs/>
                <w:color w:val="434343"/>
              </w:rPr>
              <w:t>weeks</w:t>
            </w:r>
            <w:r>
              <w:rPr>
                <w:color w:val="434343"/>
              </w:rPr>
              <w:t xml:space="preserve"> to first day of course:</w:t>
            </w:r>
          </w:p>
          <w:p w14:paraId="438C532E" w14:textId="42697B27" w:rsidR="0027329F" w:rsidRDefault="0027329F" w:rsidP="00630332">
            <w:pPr>
              <w:pStyle w:val="ListParagraph"/>
              <w:ind w:left="0"/>
              <w:jc w:val="both"/>
              <w:rPr>
                <w:color w:val="434343"/>
              </w:rPr>
            </w:pPr>
          </w:p>
        </w:tc>
        <w:tc>
          <w:tcPr>
            <w:tcW w:w="4253" w:type="dxa"/>
          </w:tcPr>
          <w:p w14:paraId="795FDAE8" w14:textId="2E5CA988" w:rsidR="00373E47" w:rsidRDefault="00871513" w:rsidP="00630332">
            <w:pPr>
              <w:pStyle w:val="ListParagraph"/>
              <w:ind w:left="0"/>
              <w:jc w:val="both"/>
              <w:rPr>
                <w:color w:val="434343"/>
              </w:rPr>
            </w:pPr>
            <w:r>
              <w:rPr>
                <w:color w:val="434343"/>
              </w:rPr>
              <w:t>50% cost applies.</w:t>
            </w:r>
          </w:p>
        </w:tc>
      </w:tr>
      <w:tr w:rsidR="00871513" w14:paraId="521D21A5" w14:textId="77777777" w:rsidTr="00871513">
        <w:tc>
          <w:tcPr>
            <w:tcW w:w="4536" w:type="dxa"/>
          </w:tcPr>
          <w:p w14:paraId="7DF16A70" w14:textId="77777777" w:rsidR="00871513" w:rsidRDefault="00871513" w:rsidP="00630332">
            <w:pPr>
              <w:pStyle w:val="ListParagraph"/>
              <w:ind w:left="0"/>
              <w:jc w:val="both"/>
              <w:rPr>
                <w:color w:val="434343"/>
              </w:rPr>
            </w:pPr>
            <w:r>
              <w:rPr>
                <w:color w:val="434343"/>
              </w:rPr>
              <w:t xml:space="preserve">More than </w:t>
            </w:r>
            <w:r w:rsidRPr="00455BC3">
              <w:rPr>
                <w:b/>
                <w:bCs/>
                <w:color w:val="434343"/>
              </w:rPr>
              <w:t>4 weeks’</w:t>
            </w:r>
            <w:r>
              <w:rPr>
                <w:color w:val="434343"/>
              </w:rPr>
              <w:t xml:space="preserve"> notice given prior to first day of course:</w:t>
            </w:r>
          </w:p>
          <w:p w14:paraId="492E5DDA" w14:textId="694CC286" w:rsidR="0027329F" w:rsidRDefault="0027329F" w:rsidP="00630332">
            <w:pPr>
              <w:pStyle w:val="ListParagraph"/>
              <w:ind w:left="0"/>
              <w:jc w:val="both"/>
              <w:rPr>
                <w:color w:val="434343"/>
              </w:rPr>
            </w:pPr>
          </w:p>
        </w:tc>
        <w:tc>
          <w:tcPr>
            <w:tcW w:w="4253" w:type="dxa"/>
          </w:tcPr>
          <w:p w14:paraId="12D3602C" w14:textId="699D8FA9" w:rsidR="00871513" w:rsidRDefault="00DD3E0A" w:rsidP="00630332">
            <w:pPr>
              <w:pStyle w:val="ListParagraph"/>
              <w:ind w:left="0"/>
              <w:jc w:val="both"/>
              <w:rPr>
                <w:color w:val="434343"/>
              </w:rPr>
            </w:pPr>
            <w:r>
              <w:rPr>
                <w:color w:val="434343"/>
              </w:rPr>
              <w:t xml:space="preserve">An </w:t>
            </w:r>
            <w:r w:rsidR="00805E39">
              <w:rPr>
                <w:color w:val="434343"/>
              </w:rPr>
              <w:t xml:space="preserve">administration </w:t>
            </w:r>
            <w:r w:rsidR="0027329F">
              <w:rPr>
                <w:color w:val="434343"/>
              </w:rPr>
              <w:t>fee of £5 per booking applies.</w:t>
            </w:r>
          </w:p>
        </w:tc>
      </w:tr>
    </w:tbl>
    <w:p w14:paraId="4D6517B0" w14:textId="77777777" w:rsidR="00630332" w:rsidRPr="00982D29" w:rsidRDefault="00630332" w:rsidP="00982D29">
      <w:pPr>
        <w:spacing w:line="240" w:lineRule="auto"/>
        <w:jc w:val="both"/>
        <w:rPr>
          <w:color w:val="434343"/>
        </w:rPr>
      </w:pPr>
    </w:p>
    <w:p w14:paraId="42684365" w14:textId="39CFA8AD" w:rsidR="00910000" w:rsidRDefault="002205E4" w:rsidP="00555DB1">
      <w:pPr>
        <w:jc w:val="both"/>
        <w:rPr>
          <w:color w:val="434343"/>
        </w:rPr>
      </w:pPr>
      <w:r>
        <w:rPr>
          <w:color w:val="434343"/>
        </w:rPr>
        <w:t xml:space="preserve">All cancellations must be submitted in writing by sending an email to </w:t>
      </w:r>
      <w:hyperlink r:id="rId11" w:history="1">
        <w:r w:rsidR="00870E38" w:rsidRPr="002A5628">
          <w:rPr>
            <w:rStyle w:val="Hyperlink"/>
          </w:rPr>
          <w:t>Training@arkergroup.com</w:t>
        </w:r>
      </w:hyperlink>
      <w:r w:rsidR="00C328C5">
        <w:rPr>
          <w:color w:val="434343"/>
        </w:rPr>
        <w:t xml:space="preserve">. If you have booked via </w:t>
      </w:r>
      <w:proofErr w:type="spellStart"/>
      <w:r w:rsidR="00C328C5">
        <w:rPr>
          <w:color w:val="434343"/>
        </w:rPr>
        <w:t>Bookwhen</w:t>
      </w:r>
      <w:proofErr w:type="spellEnd"/>
      <w:r w:rsidR="00C328C5">
        <w:rPr>
          <w:color w:val="434343"/>
        </w:rPr>
        <w:t xml:space="preserve">, we will request for you to submit a refund request through your booking reference following </w:t>
      </w:r>
      <w:r w:rsidR="000549D3">
        <w:rPr>
          <w:color w:val="434343"/>
        </w:rPr>
        <w:t>making your request in writing.</w:t>
      </w:r>
    </w:p>
    <w:p w14:paraId="44BF8718" w14:textId="77777777" w:rsidR="000549D3" w:rsidRDefault="000549D3" w:rsidP="00870E38">
      <w:pPr>
        <w:ind w:left="720"/>
        <w:jc w:val="both"/>
        <w:rPr>
          <w:color w:val="434343"/>
        </w:rPr>
      </w:pPr>
    </w:p>
    <w:p w14:paraId="777721F7" w14:textId="1DB98C3B" w:rsidR="000549D3" w:rsidRDefault="000549D3" w:rsidP="000549D3">
      <w:pPr>
        <w:pStyle w:val="ListParagraph"/>
        <w:numPr>
          <w:ilvl w:val="0"/>
          <w:numId w:val="7"/>
        </w:numPr>
        <w:spacing w:line="240" w:lineRule="auto"/>
        <w:ind w:left="720"/>
        <w:jc w:val="both"/>
        <w:rPr>
          <w:b/>
          <w:bCs/>
          <w:color w:val="434343"/>
          <w:u w:val="single"/>
        </w:rPr>
      </w:pPr>
      <w:r>
        <w:rPr>
          <w:b/>
          <w:bCs/>
          <w:color w:val="434343"/>
          <w:u w:val="single"/>
        </w:rPr>
        <w:t>Transferring candidates from one course to another</w:t>
      </w:r>
    </w:p>
    <w:p w14:paraId="305F068E" w14:textId="77777777" w:rsidR="000549D3" w:rsidRPr="006903D0" w:rsidRDefault="000549D3" w:rsidP="000549D3">
      <w:pPr>
        <w:pStyle w:val="ListParagraph"/>
        <w:spacing w:line="240" w:lineRule="auto"/>
        <w:jc w:val="both"/>
        <w:rPr>
          <w:b/>
          <w:bCs/>
          <w:color w:val="434343"/>
          <w:u w:val="single"/>
        </w:rPr>
      </w:pPr>
    </w:p>
    <w:p w14:paraId="488B38CC" w14:textId="0F537B8D" w:rsidR="000549D3" w:rsidRPr="006903D0" w:rsidRDefault="00C5497C" w:rsidP="000549D3">
      <w:pPr>
        <w:pStyle w:val="ListParagraph"/>
        <w:numPr>
          <w:ilvl w:val="0"/>
          <w:numId w:val="8"/>
        </w:numPr>
        <w:spacing w:line="240" w:lineRule="auto"/>
        <w:jc w:val="both"/>
        <w:rPr>
          <w:b/>
          <w:bCs/>
          <w:color w:val="434343"/>
        </w:rPr>
      </w:pPr>
      <w:r>
        <w:rPr>
          <w:color w:val="434343"/>
        </w:rPr>
        <w:t xml:space="preserve">Less than </w:t>
      </w:r>
      <w:r>
        <w:rPr>
          <w:b/>
          <w:bCs/>
          <w:color w:val="434343"/>
        </w:rPr>
        <w:t xml:space="preserve">2 weeks’ </w:t>
      </w:r>
      <w:r>
        <w:rPr>
          <w:color w:val="434343"/>
        </w:rPr>
        <w:t xml:space="preserve">notice given prior </w:t>
      </w:r>
      <w:r w:rsidR="00894D13">
        <w:rPr>
          <w:color w:val="434343"/>
        </w:rPr>
        <w:t>to first day of course</w:t>
      </w:r>
      <w:r w:rsidR="00C157C9">
        <w:rPr>
          <w:color w:val="434343"/>
        </w:rPr>
        <w:t xml:space="preserve"> will incur the </w:t>
      </w:r>
      <w:r w:rsidR="00C157C9">
        <w:rPr>
          <w:b/>
          <w:bCs/>
          <w:color w:val="434343"/>
        </w:rPr>
        <w:t>full cost of both courses</w:t>
      </w:r>
      <w:r w:rsidR="00C157C9">
        <w:rPr>
          <w:color w:val="434343"/>
        </w:rPr>
        <w:t>.</w:t>
      </w:r>
    </w:p>
    <w:p w14:paraId="200EC154" w14:textId="67DF926E" w:rsidR="000549D3" w:rsidRPr="00BA0319" w:rsidRDefault="00C157C9" w:rsidP="000549D3">
      <w:pPr>
        <w:pStyle w:val="ListParagraph"/>
        <w:numPr>
          <w:ilvl w:val="0"/>
          <w:numId w:val="8"/>
        </w:numPr>
        <w:spacing w:line="240" w:lineRule="auto"/>
        <w:jc w:val="both"/>
        <w:rPr>
          <w:b/>
          <w:bCs/>
          <w:color w:val="434343"/>
        </w:rPr>
      </w:pPr>
      <w:r>
        <w:rPr>
          <w:color w:val="434343"/>
        </w:rPr>
        <w:t>One candidate may be substituted for another at any time prior to the</w:t>
      </w:r>
      <w:r w:rsidR="00E00653">
        <w:rPr>
          <w:color w:val="434343"/>
        </w:rPr>
        <w:t xml:space="preserve"> </w:t>
      </w:r>
      <w:r>
        <w:rPr>
          <w:color w:val="434343"/>
        </w:rPr>
        <w:t>course date</w:t>
      </w:r>
      <w:r w:rsidR="00E00653">
        <w:rPr>
          <w:color w:val="434343"/>
        </w:rPr>
        <w:t xml:space="preserve"> – no fee will be charged.</w:t>
      </w:r>
    </w:p>
    <w:p w14:paraId="711B7779" w14:textId="3D23A0A6" w:rsidR="000549D3" w:rsidRPr="00BA0319" w:rsidRDefault="004E6223" w:rsidP="000549D3">
      <w:pPr>
        <w:pStyle w:val="ListParagraph"/>
        <w:numPr>
          <w:ilvl w:val="0"/>
          <w:numId w:val="8"/>
        </w:numPr>
        <w:spacing w:line="240" w:lineRule="auto"/>
        <w:jc w:val="both"/>
        <w:rPr>
          <w:b/>
          <w:bCs/>
          <w:color w:val="434343"/>
        </w:rPr>
      </w:pPr>
      <w:r>
        <w:rPr>
          <w:color w:val="434343"/>
        </w:rPr>
        <w:t xml:space="preserve">Transfer requests must be made in writing by sending an email to </w:t>
      </w:r>
      <w:hyperlink r:id="rId12" w:history="1">
        <w:r w:rsidRPr="002A5628">
          <w:rPr>
            <w:rStyle w:val="Hyperlink"/>
          </w:rPr>
          <w:t>Training@arkergroup.com</w:t>
        </w:r>
      </w:hyperlink>
      <w:r>
        <w:rPr>
          <w:color w:val="434343"/>
        </w:rPr>
        <w:t xml:space="preserve">. </w:t>
      </w:r>
    </w:p>
    <w:p w14:paraId="4FAF4937" w14:textId="77777777" w:rsidR="007E7035" w:rsidRDefault="007E7035" w:rsidP="00BD44D7">
      <w:pPr>
        <w:jc w:val="both"/>
        <w:rPr>
          <w:color w:val="434343"/>
        </w:rPr>
      </w:pPr>
    </w:p>
    <w:p w14:paraId="57D65B99" w14:textId="77777777" w:rsidR="009F65A8" w:rsidRDefault="009F65A8" w:rsidP="00BD44D7">
      <w:pPr>
        <w:jc w:val="both"/>
        <w:rPr>
          <w:color w:val="434343"/>
        </w:rPr>
      </w:pPr>
    </w:p>
    <w:p w14:paraId="6328AA28" w14:textId="77777777" w:rsidR="009F65A8" w:rsidRDefault="009F65A8" w:rsidP="00BD44D7">
      <w:pPr>
        <w:jc w:val="both"/>
        <w:rPr>
          <w:color w:val="434343"/>
        </w:rPr>
      </w:pPr>
    </w:p>
    <w:p w14:paraId="755E8A11" w14:textId="77777777" w:rsidR="009F65A8" w:rsidRPr="00C80B01" w:rsidRDefault="009F65A8" w:rsidP="00BD44D7">
      <w:pPr>
        <w:jc w:val="both"/>
        <w:rPr>
          <w:color w:val="434343"/>
        </w:rPr>
      </w:pPr>
    </w:p>
    <w:p w14:paraId="29F9760C" w14:textId="031F7CCD" w:rsidR="004E6223" w:rsidRDefault="004E6223" w:rsidP="004E6223">
      <w:pPr>
        <w:pStyle w:val="ListParagraph"/>
        <w:numPr>
          <w:ilvl w:val="0"/>
          <w:numId w:val="7"/>
        </w:numPr>
        <w:spacing w:line="240" w:lineRule="auto"/>
        <w:ind w:left="720"/>
        <w:jc w:val="both"/>
        <w:rPr>
          <w:b/>
          <w:bCs/>
          <w:color w:val="434343"/>
          <w:u w:val="single"/>
        </w:rPr>
      </w:pPr>
      <w:r>
        <w:rPr>
          <w:b/>
          <w:bCs/>
          <w:color w:val="434343"/>
          <w:u w:val="single"/>
        </w:rPr>
        <w:t xml:space="preserve">Late Arrivals </w:t>
      </w:r>
      <w:r w:rsidR="00213D81">
        <w:rPr>
          <w:b/>
          <w:bCs/>
          <w:color w:val="434343"/>
          <w:u w:val="single"/>
        </w:rPr>
        <w:t>&amp; Non-Attendees</w:t>
      </w:r>
    </w:p>
    <w:p w14:paraId="623277FC" w14:textId="77777777" w:rsidR="004E6223" w:rsidRPr="006903D0" w:rsidRDefault="004E6223" w:rsidP="004E6223">
      <w:pPr>
        <w:pStyle w:val="ListParagraph"/>
        <w:spacing w:line="240" w:lineRule="auto"/>
        <w:jc w:val="both"/>
        <w:rPr>
          <w:b/>
          <w:bCs/>
          <w:color w:val="434343"/>
          <w:u w:val="single"/>
        </w:rPr>
      </w:pPr>
    </w:p>
    <w:p w14:paraId="218E97B6" w14:textId="1EEBB117" w:rsidR="00C80B01" w:rsidRDefault="00213D81" w:rsidP="00213D81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434343"/>
        </w:rPr>
      </w:pPr>
      <w:r>
        <w:rPr>
          <w:color w:val="434343"/>
        </w:rPr>
        <w:t xml:space="preserve">If you arrive late for a course, or are absent </w:t>
      </w:r>
      <w:r w:rsidR="00F51305">
        <w:rPr>
          <w:color w:val="434343"/>
        </w:rPr>
        <w:t xml:space="preserve">from any session, we reserve the right to refuse to accept you for training if we feel that you will gain insufficient </w:t>
      </w:r>
      <w:r w:rsidR="00F66C51">
        <w:rPr>
          <w:color w:val="434343"/>
        </w:rPr>
        <w:t>knowledge or skill in the time remaining. In all cases, the full course fee remains payable.</w:t>
      </w:r>
    </w:p>
    <w:p w14:paraId="30904108" w14:textId="4FCE0EDE" w:rsidR="00F66C51" w:rsidRDefault="00F66C51" w:rsidP="00213D81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434343"/>
        </w:rPr>
      </w:pPr>
      <w:r>
        <w:rPr>
          <w:color w:val="434343"/>
        </w:rPr>
        <w:t>If you do not attend a course, and have not previously informed us, the full course fee remains payable.</w:t>
      </w:r>
    </w:p>
    <w:p w14:paraId="2F645F87" w14:textId="77777777" w:rsidR="009F0E83" w:rsidRDefault="009F0E83" w:rsidP="009F0E83">
      <w:pPr>
        <w:pStyle w:val="ListParagraph"/>
        <w:spacing w:line="240" w:lineRule="auto"/>
        <w:ind w:left="1080"/>
        <w:jc w:val="both"/>
        <w:rPr>
          <w:color w:val="434343"/>
        </w:rPr>
      </w:pPr>
    </w:p>
    <w:p w14:paraId="233F4639" w14:textId="77777777" w:rsidR="009F0E83" w:rsidRPr="00C80B01" w:rsidRDefault="009F0E83" w:rsidP="009F0E83">
      <w:pPr>
        <w:pStyle w:val="ListParagraph"/>
        <w:spacing w:line="240" w:lineRule="auto"/>
        <w:ind w:left="1080"/>
        <w:jc w:val="both"/>
        <w:rPr>
          <w:color w:val="434343"/>
        </w:rPr>
      </w:pPr>
    </w:p>
    <w:p w14:paraId="0EA9843C" w14:textId="4AF26F29" w:rsidR="009F0E83" w:rsidRPr="00811D1F" w:rsidRDefault="009F0E83" w:rsidP="009F0E83">
      <w:pPr>
        <w:pStyle w:val="ListParagraph"/>
        <w:numPr>
          <w:ilvl w:val="0"/>
          <w:numId w:val="7"/>
        </w:numPr>
        <w:spacing w:line="240" w:lineRule="auto"/>
        <w:ind w:left="720"/>
        <w:jc w:val="both"/>
        <w:rPr>
          <w:b/>
          <w:bCs/>
          <w:color w:val="434343"/>
          <w:u w:val="single"/>
        </w:rPr>
      </w:pPr>
      <w:r>
        <w:rPr>
          <w:b/>
          <w:bCs/>
          <w:color w:val="434343"/>
          <w:u w:val="single"/>
        </w:rPr>
        <w:t>Cancellation of Courses</w:t>
      </w:r>
    </w:p>
    <w:p w14:paraId="5DE81738" w14:textId="5A75B32A" w:rsidR="00177325" w:rsidRDefault="00555DB1" w:rsidP="009F0E83">
      <w:pPr>
        <w:spacing w:line="240" w:lineRule="auto"/>
        <w:jc w:val="both"/>
        <w:rPr>
          <w:color w:val="434343"/>
        </w:rPr>
      </w:pPr>
      <w:r>
        <w:rPr>
          <w:color w:val="434343"/>
        </w:rPr>
        <w:t xml:space="preserve">We reserve the right to cancel any course if there are insufficient </w:t>
      </w:r>
      <w:r w:rsidR="00441B66">
        <w:rPr>
          <w:color w:val="434343"/>
        </w:rPr>
        <w:t xml:space="preserve">numbers to run a viable course. Minimum attendance requirements are set by the accrediting bodies. In these circumstances, you will be given as much notice as possible and the option to transfer to </w:t>
      </w:r>
      <w:r w:rsidR="00811D1F">
        <w:rPr>
          <w:color w:val="434343"/>
        </w:rPr>
        <w:t>another course date or receive a full refund of any fees paid.</w:t>
      </w:r>
    </w:p>
    <w:p w14:paraId="435832A1" w14:textId="77777777" w:rsidR="00177325" w:rsidRDefault="00177325" w:rsidP="009F0E83">
      <w:pPr>
        <w:spacing w:line="240" w:lineRule="auto"/>
        <w:jc w:val="both"/>
        <w:rPr>
          <w:color w:val="434343"/>
        </w:rPr>
      </w:pPr>
    </w:p>
    <w:p w14:paraId="7A3ECCCA" w14:textId="0DF9178F" w:rsidR="00177325" w:rsidRPr="00811D1F" w:rsidRDefault="00177325" w:rsidP="00177325">
      <w:pPr>
        <w:pStyle w:val="ListParagraph"/>
        <w:numPr>
          <w:ilvl w:val="0"/>
          <w:numId w:val="7"/>
        </w:numPr>
        <w:spacing w:line="240" w:lineRule="auto"/>
        <w:ind w:left="720"/>
        <w:jc w:val="both"/>
        <w:rPr>
          <w:b/>
          <w:bCs/>
          <w:color w:val="434343"/>
          <w:u w:val="single"/>
        </w:rPr>
      </w:pPr>
      <w:r>
        <w:rPr>
          <w:b/>
          <w:bCs/>
          <w:color w:val="434343"/>
          <w:u w:val="single"/>
        </w:rPr>
        <w:t>Replacement Certificates</w:t>
      </w:r>
    </w:p>
    <w:p w14:paraId="56435299" w14:textId="19EE08DE" w:rsidR="00177325" w:rsidRDefault="00177325" w:rsidP="00177325">
      <w:pPr>
        <w:spacing w:line="240" w:lineRule="auto"/>
        <w:jc w:val="both"/>
        <w:rPr>
          <w:color w:val="434343"/>
        </w:rPr>
      </w:pPr>
      <w:r>
        <w:rPr>
          <w:color w:val="434343"/>
        </w:rPr>
        <w:t>Replacement Certificates will be charged at £30 + VAT.</w:t>
      </w:r>
    </w:p>
    <w:p w14:paraId="67823D9F" w14:textId="77777777" w:rsidR="00177325" w:rsidRDefault="00177325" w:rsidP="009F0E83">
      <w:pPr>
        <w:spacing w:line="240" w:lineRule="auto"/>
        <w:jc w:val="both"/>
        <w:rPr>
          <w:color w:val="434343"/>
        </w:rPr>
      </w:pPr>
    </w:p>
    <w:p w14:paraId="6D1745E3" w14:textId="6B2298E3" w:rsidR="00177325" w:rsidRPr="00811D1F" w:rsidRDefault="00177325" w:rsidP="00177325">
      <w:pPr>
        <w:pStyle w:val="ListParagraph"/>
        <w:numPr>
          <w:ilvl w:val="0"/>
          <w:numId w:val="7"/>
        </w:numPr>
        <w:spacing w:line="240" w:lineRule="auto"/>
        <w:ind w:left="720"/>
        <w:jc w:val="both"/>
        <w:rPr>
          <w:b/>
          <w:bCs/>
          <w:color w:val="434343"/>
          <w:u w:val="single"/>
        </w:rPr>
      </w:pPr>
      <w:r>
        <w:rPr>
          <w:b/>
          <w:bCs/>
          <w:color w:val="434343"/>
          <w:u w:val="single"/>
        </w:rPr>
        <w:t>Re</w:t>
      </w:r>
      <w:r>
        <w:rPr>
          <w:b/>
          <w:bCs/>
          <w:color w:val="434343"/>
          <w:u w:val="single"/>
        </w:rPr>
        <w:t>-taking Examinations or Assessments</w:t>
      </w:r>
    </w:p>
    <w:p w14:paraId="30E0F4ED" w14:textId="27E8F37F" w:rsidR="00177325" w:rsidRDefault="00177325" w:rsidP="00177325">
      <w:pPr>
        <w:spacing w:line="240" w:lineRule="auto"/>
        <w:jc w:val="both"/>
        <w:rPr>
          <w:color w:val="434343"/>
        </w:rPr>
      </w:pPr>
      <w:r>
        <w:rPr>
          <w:color w:val="434343"/>
        </w:rPr>
        <w:t xml:space="preserve">If a candidate is required to re-sit an examination, they must arrange a suitable date and time with the invigilator. </w:t>
      </w:r>
    </w:p>
    <w:p w14:paraId="4A8169C8" w14:textId="1AA43673" w:rsidR="00177325" w:rsidRDefault="00177325" w:rsidP="00177325">
      <w:pPr>
        <w:spacing w:line="240" w:lineRule="auto"/>
        <w:jc w:val="both"/>
        <w:rPr>
          <w:color w:val="434343"/>
        </w:rPr>
      </w:pPr>
      <w:r>
        <w:rPr>
          <w:color w:val="434343"/>
        </w:rPr>
        <w:t>Examination re-sits will be charged at £30 + VAT per hour.</w:t>
      </w:r>
    </w:p>
    <w:p w14:paraId="59BDCB72" w14:textId="21D59CB2" w:rsidR="00177325" w:rsidRDefault="00177325" w:rsidP="00177325">
      <w:pPr>
        <w:spacing w:line="240" w:lineRule="auto"/>
        <w:jc w:val="both"/>
        <w:rPr>
          <w:color w:val="434343"/>
        </w:rPr>
      </w:pPr>
      <w:r>
        <w:rPr>
          <w:color w:val="434343"/>
        </w:rPr>
        <w:t xml:space="preserve">NPLQ assessment charges vary due to the circumstances surrounding how many people are requiring retaking and can be between </w:t>
      </w:r>
      <w:r w:rsidR="00A23E83">
        <w:rPr>
          <w:color w:val="434343"/>
        </w:rPr>
        <w:t>£45 and £120 depending on the number of people.</w:t>
      </w:r>
    </w:p>
    <w:p w14:paraId="23F0EF41" w14:textId="77777777" w:rsidR="00177325" w:rsidRPr="009F0E83" w:rsidRDefault="00177325" w:rsidP="009F0E83">
      <w:pPr>
        <w:spacing w:line="240" w:lineRule="auto"/>
        <w:jc w:val="both"/>
        <w:rPr>
          <w:color w:val="434343"/>
        </w:rPr>
      </w:pPr>
    </w:p>
    <w:p w14:paraId="79B7347E" w14:textId="77777777" w:rsidR="00343EE9" w:rsidRPr="00C80B01" w:rsidRDefault="00343EE9" w:rsidP="00343EE9">
      <w:pPr>
        <w:rPr>
          <w:color w:val="434343"/>
        </w:rPr>
      </w:pPr>
    </w:p>
    <w:p w14:paraId="0465B6A8" w14:textId="77777777" w:rsidR="00343EE9" w:rsidRPr="00C80B01" w:rsidRDefault="00343EE9" w:rsidP="00343EE9">
      <w:pPr>
        <w:rPr>
          <w:color w:val="434343"/>
        </w:rPr>
      </w:pPr>
    </w:p>
    <w:p w14:paraId="769F0A4E" w14:textId="77777777" w:rsidR="00343EE9" w:rsidRPr="00C80B01" w:rsidRDefault="00343EE9">
      <w:pPr>
        <w:rPr>
          <w:color w:val="434343"/>
        </w:rPr>
      </w:pPr>
    </w:p>
    <w:p w14:paraId="1D808C3A" w14:textId="77777777" w:rsidR="00343EE9" w:rsidRPr="00C80B01" w:rsidRDefault="00343EE9">
      <w:pPr>
        <w:rPr>
          <w:color w:val="434343"/>
        </w:rPr>
      </w:pPr>
    </w:p>
    <w:sectPr w:rsidR="00343EE9" w:rsidRPr="00C80B01" w:rsidSect="007E7035">
      <w:headerReference w:type="default" r:id="rId13"/>
      <w:footerReference w:type="even" r:id="rId14"/>
      <w:footerReference w:type="default" r:id="rId15"/>
      <w:pgSz w:w="11906" w:h="16838"/>
      <w:pgMar w:top="167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D62A" w14:textId="77777777" w:rsidR="00936260" w:rsidRDefault="00936260" w:rsidP="009B45D0">
      <w:pPr>
        <w:spacing w:after="0" w:line="240" w:lineRule="auto"/>
      </w:pPr>
      <w:r>
        <w:separator/>
      </w:r>
    </w:p>
  </w:endnote>
  <w:endnote w:type="continuationSeparator" w:id="0">
    <w:p w14:paraId="47C1AA9A" w14:textId="77777777" w:rsidR="00936260" w:rsidRDefault="00936260" w:rsidP="009B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7422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E9D158" w14:textId="7B1D83B9" w:rsidR="00523FF1" w:rsidRDefault="00523FF1" w:rsidP="00386D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F12E8" w14:textId="77777777" w:rsidR="00523FF1" w:rsidRDefault="00523FF1" w:rsidP="00523F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92274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26C2B6" w14:textId="3024070E" w:rsidR="00523FF1" w:rsidRDefault="00523FF1" w:rsidP="00386D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94A7CE" w14:textId="77777777" w:rsidR="00523FF1" w:rsidRDefault="00523FF1" w:rsidP="00523F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3CCB" w14:textId="77777777" w:rsidR="00936260" w:rsidRDefault="00936260" w:rsidP="009B45D0">
      <w:pPr>
        <w:spacing w:after="0" w:line="240" w:lineRule="auto"/>
      </w:pPr>
      <w:r>
        <w:separator/>
      </w:r>
    </w:p>
  </w:footnote>
  <w:footnote w:type="continuationSeparator" w:id="0">
    <w:p w14:paraId="23A7D77C" w14:textId="77777777" w:rsidR="00936260" w:rsidRDefault="00936260" w:rsidP="009B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BE51" w14:textId="77777777" w:rsidR="00367271" w:rsidRDefault="00E36EC1" w:rsidP="009B45D0">
    <w:pPr>
      <w:pStyle w:val="Footer"/>
      <w:ind w:right="360"/>
      <w:rPr>
        <w:color w:val="434343"/>
      </w:rPr>
    </w:pPr>
    <w:r>
      <w:rPr>
        <w:noProof/>
        <w:color w:val="434343"/>
      </w:rPr>
      <w:drawing>
        <wp:anchor distT="0" distB="0" distL="114300" distR="114300" simplePos="0" relativeHeight="251658240" behindDoc="0" locked="0" layoutInCell="1" allowOverlap="1" wp14:anchorId="34347406" wp14:editId="3E0B0A37">
          <wp:simplePos x="0" y="0"/>
          <wp:positionH relativeFrom="margin">
            <wp:align>center</wp:align>
          </wp:positionH>
          <wp:positionV relativeFrom="paragraph">
            <wp:posOffset>-76556</wp:posOffset>
          </wp:positionV>
          <wp:extent cx="2228788" cy="652327"/>
          <wp:effectExtent l="0" t="0" r="0" b="0"/>
          <wp:wrapNone/>
          <wp:docPr id="1376402857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402857" name="Picture 1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788" cy="652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2FA">
      <w:rPr>
        <w:color w:val="434343"/>
      </w:rPr>
      <w:t>Training Cancellation</w:t>
    </w:r>
    <w:r w:rsidR="00367271">
      <w:rPr>
        <w:color w:val="434343"/>
      </w:rPr>
      <w:t xml:space="preserve"> </w:t>
    </w:r>
  </w:p>
  <w:p w14:paraId="793B63C9" w14:textId="35AB1412" w:rsidR="009B45D0" w:rsidRPr="0070094D" w:rsidRDefault="00093164" w:rsidP="009B45D0">
    <w:pPr>
      <w:pStyle w:val="Footer"/>
      <w:ind w:right="360"/>
      <w:rPr>
        <w:color w:val="434343"/>
      </w:rPr>
    </w:pPr>
    <w:r>
      <w:rPr>
        <w:color w:val="434343"/>
      </w:rPr>
      <w:t>&amp; Refund Policy</w:t>
    </w:r>
    <w:r w:rsidR="009B45D0" w:rsidRPr="0070094D">
      <w:rPr>
        <w:color w:val="434343"/>
      </w:rPr>
      <w:tab/>
    </w:r>
    <w:r w:rsidR="009B45D0" w:rsidRPr="0070094D">
      <w:rPr>
        <w:color w:val="434343"/>
      </w:rPr>
      <w:tab/>
    </w:r>
    <w:r w:rsidR="009B45D0" w:rsidRPr="0070094D">
      <w:rPr>
        <w:rFonts w:cstheme="minorHAnsi"/>
        <w:color w:val="434343"/>
      </w:rPr>
      <w:t>Author: Partner</w:t>
    </w:r>
  </w:p>
  <w:p w14:paraId="2072B3E9" w14:textId="03BC2BF1" w:rsidR="009F2ED2" w:rsidRPr="0070094D" w:rsidRDefault="009B45D0" w:rsidP="009B45D0">
    <w:pPr>
      <w:pStyle w:val="Footer"/>
      <w:rPr>
        <w:color w:val="434343"/>
      </w:rPr>
    </w:pPr>
    <w:r w:rsidRPr="0070094D">
      <w:rPr>
        <w:color w:val="434343"/>
      </w:rPr>
      <w:t>Version 1</w:t>
    </w:r>
    <w:r w:rsidRPr="0070094D">
      <w:rPr>
        <w:color w:val="434343"/>
      </w:rPr>
      <w:tab/>
    </w:r>
    <w:r w:rsidRPr="0070094D">
      <w:rPr>
        <w:color w:val="434343"/>
      </w:rPr>
      <w:tab/>
      <w:t xml:space="preserve">Implemented on: </w:t>
    </w:r>
    <w:r w:rsidR="00D97E82">
      <w:rPr>
        <w:color w:val="434343"/>
      </w:rPr>
      <w:t>Aug 2025</w:t>
    </w:r>
  </w:p>
  <w:p w14:paraId="42EF1E96" w14:textId="4D7CF1DA" w:rsidR="009F2ED2" w:rsidRPr="009B45D0" w:rsidRDefault="009B45D0" w:rsidP="009B45D0">
    <w:pPr>
      <w:pStyle w:val="Footer"/>
      <w:rPr>
        <w:color w:val="434343"/>
      </w:rPr>
    </w:pPr>
    <w:r>
      <w:rPr>
        <w:color w:val="434343"/>
      </w:rPr>
      <w:t>Doc Ref:</w:t>
    </w:r>
    <w:r w:rsidR="00093164">
      <w:rPr>
        <w:color w:val="434343"/>
      </w:rPr>
      <w:t xml:space="preserve"> LTD009</w:t>
    </w:r>
    <w:r w:rsidRPr="0070094D">
      <w:rPr>
        <w:color w:val="434343"/>
      </w:rPr>
      <w:tab/>
    </w:r>
    <w:r w:rsidRPr="0070094D">
      <w:rPr>
        <w:color w:val="434343"/>
      </w:rPr>
      <w:tab/>
      <w:t xml:space="preserve">Date last reviewed: </w:t>
    </w:r>
    <w:r w:rsidR="00367271">
      <w:rPr>
        <w:color w:val="434343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DB6"/>
    <w:multiLevelType w:val="hybridMultilevel"/>
    <w:tmpl w:val="CB9462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BEC"/>
    <w:multiLevelType w:val="hybridMultilevel"/>
    <w:tmpl w:val="F0187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C8733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18AF"/>
    <w:multiLevelType w:val="hybridMultilevel"/>
    <w:tmpl w:val="3B8AAA16"/>
    <w:lvl w:ilvl="0" w:tplc="90B29C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A76EC"/>
    <w:multiLevelType w:val="hybridMultilevel"/>
    <w:tmpl w:val="00FAD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7407"/>
    <w:multiLevelType w:val="hybridMultilevel"/>
    <w:tmpl w:val="F73EB9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16C0"/>
    <w:multiLevelType w:val="hybridMultilevel"/>
    <w:tmpl w:val="F9C0C8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062CDF"/>
    <w:multiLevelType w:val="hybridMultilevel"/>
    <w:tmpl w:val="6964B2C4"/>
    <w:lvl w:ilvl="0" w:tplc="2EC6E7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226C9"/>
    <w:multiLevelType w:val="hybridMultilevel"/>
    <w:tmpl w:val="2B804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20820">
    <w:abstractNumId w:val="7"/>
  </w:num>
  <w:num w:numId="2" w16cid:durableId="28534640">
    <w:abstractNumId w:val="0"/>
  </w:num>
  <w:num w:numId="3" w16cid:durableId="552885958">
    <w:abstractNumId w:val="4"/>
  </w:num>
  <w:num w:numId="4" w16cid:durableId="1528445179">
    <w:abstractNumId w:val="1"/>
  </w:num>
  <w:num w:numId="5" w16cid:durableId="268389809">
    <w:abstractNumId w:val="2"/>
  </w:num>
  <w:num w:numId="6" w16cid:durableId="846402704">
    <w:abstractNumId w:val="3"/>
  </w:num>
  <w:num w:numId="7" w16cid:durableId="1197356179">
    <w:abstractNumId w:val="6"/>
  </w:num>
  <w:num w:numId="8" w16cid:durableId="102478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E9"/>
    <w:rsid w:val="000255B0"/>
    <w:rsid w:val="000368B6"/>
    <w:rsid w:val="000438F4"/>
    <w:rsid w:val="000549D3"/>
    <w:rsid w:val="00060A2F"/>
    <w:rsid w:val="0007173D"/>
    <w:rsid w:val="00076217"/>
    <w:rsid w:val="000802F2"/>
    <w:rsid w:val="00093164"/>
    <w:rsid w:val="000B385D"/>
    <w:rsid w:val="000B54E1"/>
    <w:rsid w:val="000C7B1A"/>
    <w:rsid w:val="001276BB"/>
    <w:rsid w:val="0014725C"/>
    <w:rsid w:val="00177325"/>
    <w:rsid w:val="00184EAF"/>
    <w:rsid w:val="00190784"/>
    <w:rsid w:val="001958ED"/>
    <w:rsid w:val="001A6D52"/>
    <w:rsid w:val="001B1E04"/>
    <w:rsid w:val="001E2A59"/>
    <w:rsid w:val="001E4493"/>
    <w:rsid w:val="001F6695"/>
    <w:rsid w:val="00213D81"/>
    <w:rsid w:val="002179C6"/>
    <w:rsid w:val="002205E4"/>
    <w:rsid w:val="00223735"/>
    <w:rsid w:val="00241E1E"/>
    <w:rsid w:val="00252BC8"/>
    <w:rsid w:val="0027329F"/>
    <w:rsid w:val="002A4D80"/>
    <w:rsid w:val="002D04FD"/>
    <w:rsid w:val="00330E68"/>
    <w:rsid w:val="00343EE9"/>
    <w:rsid w:val="00367271"/>
    <w:rsid w:val="00373E47"/>
    <w:rsid w:val="003B5BB9"/>
    <w:rsid w:val="00416997"/>
    <w:rsid w:val="0042587C"/>
    <w:rsid w:val="00441B66"/>
    <w:rsid w:val="004422E6"/>
    <w:rsid w:val="00455BC3"/>
    <w:rsid w:val="004561EB"/>
    <w:rsid w:val="0046391D"/>
    <w:rsid w:val="0047557E"/>
    <w:rsid w:val="00494D17"/>
    <w:rsid w:val="004B562C"/>
    <w:rsid w:val="004E2929"/>
    <w:rsid w:val="004E6223"/>
    <w:rsid w:val="00500763"/>
    <w:rsid w:val="00513B5D"/>
    <w:rsid w:val="00523FF1"/>
    <w:rsid w:val="005554D9"/>
    <w:rsid w:val="00555DB1"/>
    <w:rsid w:val="00593CC6"/>
    <w:rsid w:val="00630332"/>
    <w:rsid w:val="006742A4"/>
    <w:rsid w:val="006903D0"/>
    <w:rsid w:val="006C0C72"/>
    <w:rsid w:val="006E53B9"/>
    <w:rsid w:val="00730F22"/>
    <w:rsid w:val="0073209E"/>
    <w:rsid w:val="0073644A"/>
    <w:rsid w:val="00741886"/>
    <w:rsid w:val="00741B12"/>
    <w:rsid w:val="00784AF2"/>
    <w:rsid w:val="007A725C"/>
    <w:rsid w:val="007E7035"/>
    <w:rsid w:val="007F38A7"/>
    <w:rsid w:val="00805E39"/>
    <w:rsid w:val="00811D1F"/>
    <w:rsid w:val="00816333"/>
    <w:rsid w:val="00844F34"/>
    <w:rsid w:val="00857E66"/>
    <w:rsid w:val="00870E38"/>
    <w:rsid w:val="00871513"/>
    <w:rsid w:val="00894D13"/>
    <w:rsid w:val="008C1649"/>
    <w:rsid w:val="008C2FD8"/>
    <w:rsid w:val="008C701F"/>
    <w:rsid w:val="008D6253"/>
    <w:rsid w:val="008F4B43"/>
    <w:rsid w:val="009069DA"/>
    <w:rsid w:val="00910000"/>
    <w:rsid w:val="009113B0"/>
    <w:rsid w:val="00936260"/>
    <w:rsid w:val="00982285"/>
    <w:rsid w:val="00982D29"/>
    <w:rsid w:val="00983E30"/>
    <w:rsid w:val="00986C75"/>
    <w:rsid w:val="009B45D0"/>
    <w:rsid w:val="009E2A7E"/>
    <w:rsid w:val="009F0E83"/>
    <w:rsid w:val="009F2ED2"/>
    <w:rsid w:val="009F65A8"/>
    <w:rsid w:val="00A049F7"/>
    <w:rsid w:val="00A06783"/>
    <w:rsid w:val="00A21829"/>
    <w:rsid w:val="00A23E83"/>
    <w:rsid w:val="00B208DD"/>
    <w:rsid w:val="00BA0319"/>
    <w:rsid w:val="00BA601A"/>
    <w:rsid w:val="00BD44D7"/>
    <w:rsid w:val="00BD4B83"/>
    <w:rsid w:val="00C157C9"/>
    <w:rsid w:val="00C328C5"/>
    <w:rsid w:val="00C34447"/>
    <w:rsid w:val="00C5497C"/>
    <w:rsid w:val="00C80B01"/>
    <w:rsid w:val="00CB35F4"/>
    <w:rsid w:val="00CB6F66"/>
    <w:rsid w:val="00CD06F5"/>
    <w:rsid w:val="00CD0E6E"/>
    <w:rsid w:val="00D146C5"/>
    <w:rsid w:val="00D14951"/>
    <w:rsid w:val="00D97E82"/>
    <w:rsid w:val="00DC40DB"/>
    <w:rsid w:val="00DD3E0A"/>
    <w:rsid w:val="00DD4C1A"/>
    <w:rsid w:val="00E00653"/>
    <w:rsid w:val="00E1106E"/>
    <w:rsid w:val="00E36EC1"/>
    <w:rsid w:val="00E459BD"/>
    <w:rsid w:val="00E64CB3"/>
    <w:rsid w:val="00E727B1"/>
    <w:rsid w:val="00E74E31"/>
    <w:rsid w:val="00EC39CE"/>
    <w:rsid w:val="00EC64A6"/>
    <w:rsid w:val="00ED545A"/>
    <w:rsid w:val="00EE62FA"/>
    <w:rsid w:val="00F12DCA"/>
    <w:rsid w:val="00F169FF"/>
    <w:rsid w:val="00F23C58"/>
    <w:rsid w:val="00F330FF"/>
    <w:rsid w:val="00F51305"/>
    <w:rsid w:val="00F66C51"/>
    <w:rsid w:val="00F67685"/>
    <w:rsid w:val="00F941C7"/>
    <w:rsid w:val="00FC1FE0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438FA"/>
  <w15:chartTrackingRefBased/>
  <w15:docId w15:val="{D7A28518-871F-4B89-A83A-9DA1A02F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4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E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0"/>
  </w:style>
  <w:style w:type="paragraph" w:styleId="Footer">
    <w:name w:val="footer"/>
    <w:basedOn w:val="Normal"/>
    <w:link w:val="FooterChar"/>
    <w:uiPriority w:val="99"/>
    <w:unhideWhenUsed/>
    <w:rsid w:val="009B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0"/>
  </w:style>
  <w:style w:type="table" w:styleId="TableGrid">
    <w:name w:val="Table Grid"/>
    <w:basedOn w:val="TableNormal"/>
    <w:uiPriority w:val="39"/>
    <w:rsid w:val="00741B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2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arkergrou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arker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4F90DE0150B4CA0F071280138C453" ma:contentTypeVersion="11" ma:contentTypeDescription="Create a new document." ma:contentTypeScope="" ma:versionID="74b5f841b9fff2187dcef5c67aa24b5e">
  <xsd:schema xmlns:xsd="http://www.w3.org/2001/XMLSchema" xmlns:xs="http://www.w3.org/2001/XMLSchema" xmlns:p="http://schemas.microsoft.com/office/2006/metadata/properties" xmlns:ns2="33413b41-dd33-417e-95dd-07dfb337386b" xmlns:ns3="a8acd42c-04a9-453b-8a23-d6a867d5c3a1" targetNamespace="http://schemas.microsoft.com/office/2006/metadata/properties" ma:root="true" ma:fieldsID="2365e6e7f7810c4723b7bd1ee286d487" ns2:_="" ns3:_="">
    <xsd:import namespace="33413b41-dd33-417e-95dd-07dfb337386b"/>
    <xsd:import namespace="a8acd42c-04a9-453b-8a23-d6a867d5c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13b41-dd33-417e-95dd-07dfb337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9efc2a-8c9f-494f-a44f-6c0385938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cd42c-04a9-453b-8a23-d6a867d5c3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a68179-70ce-48a1-a2c2-8d3f66a1a95f}" ma:internalName="TaxCatchAll" ma:showField="CatchAllData" ma:web="a8acd42c-04a9-453b-8a23-d6a867d5c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cd42c-04a9-453b-8a23-d6a867d5c3a1" xsi:nil="true"/>
    <lcf76f155ced4ddcb4097134ff3c332f xmlns="33413b41-dd33-417e-95dd-07dfb33738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C07000-854B-422D-85B3-D43BB10EE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13b41-dd33-417e-95dd-07dfb337386b"/>
    <ds:schemaRef ds:uri="a8acd42c-04a9-453b-8a23-d6a867d5c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BFDB-FD15-4E8B-965A-558111EB2665}">
  <ds:schemaRefs>
    <ds:schemaRef ds:uri="http://schemas.microsoft.com/office/2006/metadata/properties"/>
    <ds:schemaRef ds:uri="http://schemas.microsoft.com/office/infopath/2007/PartnerControls"/>
    <ds:schemaRef ds:uri="a8acd42c-04a9-453b-8a23-d6a867d5c3a1"/>
    <ds:schemaRef ds:uri="33413b41-dd33-417e-95dd-07dfb337386b"/>
  </ds:schemaRefs>
</ds:datastoreItem>
</file>

<file path=customXml/itemProps3.xml><?xml version="1.0" encoding="utf-8"?>
<ds:datastoreItem xmlns:ds="http://schemas.openxmlformats.org/officeDocument/2006/customXml" ds:itemID="{05E315A5-806F-451D-BFE1-71EE60ECA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323EC-4957-DD4F-BB96-7E6D00E4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Parker</dc:creator>
  <cp:keywords/>
  <dc:description/>
  <cp:lastModifiedBy>Kay-leigh Boot</cp:lastModifiedBy>
  <cp:revision>2</cp:revision>
  <dcterms:created xsi:type="dcterms:W3CDTF">2025-08-21T11:05:00Z</dcterms:created>
  <dcterms:modified xsi:type="dcterms:W3CDTF">2025-08-21T11:05:00Z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0x01010092A4F90DE0150B4CA0F071280138C453</vt:lpwstr>
  </property>
  <property fmtid="{D5CDD505-2E9C-101B-9397-08002B2CF9AE}" pid="3" name="MediaServiceImageTags">
    <vt:lpwstr/>
  </property>
</Properties>
</file>