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7A19" w14:textId="44FBC285" w:rsidR="00A81494" w:rsidRPr="00D72AEF" w:rsidRDefault="00A81494" w:rsidP="003A5AC0">
      <w:pPr>
        <w:pStyle w:val="ListParagraph"/>
        <w:numPr>
          <w:ilvl w:val="0"/>
          <w:numId w:val="1"/>
        </w:numPr>
        <w:ind w:left="0"/>
        <w:jc w:val="both"/>
        <w:rPr>
          <w:b/>
          <w:bCs/>
          <w:color w:val="434343"/>
          <w:u w:val="single"/>
        </w:rPr>
      </w:pPr>
      <w:r w:rsidRPr="00D72AEF">
        <w:rPr>
          <w:b/>
          <w:bCs/>
          <w:color w:val="434343"/>
          <w:u w:val="single"/>
        </w:rPr>
        <w:t>Summary of Changes and Review</w:t>
      </w:r>
    </w:p>
    <w:p w14:paraId="1F84D592" w14:textId="77777777" w:rsidR="00A81494" w:rsidRDefault="00A81494" w:rsidP="003A5AC0">
      <w:pPr>
        <w:jc w:val="both"/>
        <w:rPr>
          <w:color w:val="434343"/>
        </w:rPr>
      </w:pPr>
    </w:p>
    <w:tbl>
      <w:tblPr>
        <w:tblStyle w:val="TableGrid"/>
        <w:tblW w:w="0" w:type="auto"/>
        <w:tblLook w:val="04A0" w:firstRow="1" w:lastRow="0" w:firstColumn="1" w:lastColumn="0" w:noHBand="0" w:noVBand="1"/>
      </w:tblPr>
      <w:tblGrid>
        <w:gridCol w:w="1040"/>
        <w:gridCol w:w="1794"/>
        <w:gridCol w:w="1126"/>
        <w:gridCol w:w="1321"/>
        <w:gridCol w:w="3735"/>
      </w:tblGrid>
      <w:tr w:rsidR="006E4CA9" w14:paraId="552FCD45" w14:textId="77777777" w:rsidTr="004A4F8E">
        <w:tc>
          <w:tcPr>
            <w:tcW w:w="1040" w:type="dxa"/>
            <w:shd w:val="clear" w:color="auto" w:fill="B49C7A"/>
          </w:tcPr>
          <w:p w14:paraId="4601F644" w14:textId="77777777" w:rsidR="00A81494" w:rsidRPr="003B1361" w:rsidRDefault="00A81494" w:rsidP="003A5AC0">
            <w:pPr>
              <w:jc w:val="both"/>
              <w:rPr>
                <w:b/>
                <w:bCs/>
                <w:color w:val="FFFFFF" w:themeColor="background1"/>
              </w:rPr>
            </w:pPr>
            <w:r w:rsidRPr="003B1361">
              <w:rPr>
                <w:b/>
                <w:bCs/>
                <w:color w:val="FFFFFF" w:themeColor="background1"/>
              </w:rPr>
              <w:t>Version Number</w:t>
            </w:r>
          </w:p>
        </w:tc>
        <w:tc>
          <w:tcPr>
            <w:tcW w:w="1794" w:type="dxa"/>
            <w:shd w:val="clear" w:color="auto" w:fill="B49C7A"/>
          </w:tcPr>
          <w:p w14:paraId="54515955" w14:textId="77777777" w:rsidR="00A81494" w:rsidRPr="003B1361" w:rsidRDefault="00A81494" w:rsidP="003A5AC0">
            <w:pPr>
              <w:jc w:val="both"/>
              <w:rPr>
                <w:b/>
                <w:bCs/>
                <w:color w:val="FFFFFF" w:themeColor="background1"/>
              </w:rPr>
            </w:pPr>
            <w:r w:rsidRPr="003B1361">
              <w:rPr>
                <w:b/>
                <w:bCs/>
                <w:color w:val="FFFFFF" w:themeColor="background1"/>
              </w:rPr>
              <w:t>Date of Change/Review</w:t>
            </w:r>
          </w:p>
        </w:tc>
        <w:tc>
          <w:tcPr>
            <w:tcW w:w="1126" w:type="dxa"/>
            <w:shd w:val="clear" w:color="auto" w:fill="B49C7A"/>
          </w:tcPr>
          <w:p w14:paraId="4FDCE86C" w14:textId="77777777" w:rsidR="00A81494" w:rsidRPr="003B1361" w:rsidRDefault="00A81494" w:rsidP="003A5AC0">
            <w:pPr>
              <w:jc w:val="both"/>
              <w:rPr>
                <w:b/>
                <w:bCs/>
                <w:color w:val="FFFFFF" w:themeColor="background1"/>
              </w:rPr>
            </w:pPr>
            <w:r w:rsidRPr="003B1361">
              <w:rPr>
                <w:b/>
                <w:bCs/>
                <w:color w:val="FFFFFF" w:themeColor="background1"/>
              </w:rPr>
              <w:t>Review / Changes Made By</w:t>
            </w:r>
          </w:p>
        </w:tc>
        <w:tc>
          <w:tcPr>
            <w:tcW w:w="1321" w:type="dxa"/>
            <w:shd w:val="clear" w:color="auto" w:fill="B49C7A"/>
          </w:tcPr>
          <w:p w14:paraId="68CD4934" w14:textId="77777777" w:rsidR="00A81494" w:rsidRPr="003B1361" w:rsidRDefault="00A81494" w:rsidP="003A5AC0">
            <w:pPr>
              <w:jc w:val="both"/>
              <w:rPr>
                <w:b/>
                <w:bCs/>
                <w:color w:val="FFFFFF" w:themeColor="background1"/>
              </w:rPr>
            </w:pPr>
            <w:r w:rsidRPr="003B1361">
              <w:rPr>
                <w:b/>
                <w:bCs/>
                <w:color w:val="FFFFFF" w:themeColor="background1"/>
              </w:rPr>
              <w:t>Authorised By</w:t>
            </w:r>
          </w:p>
        </w:tc>
        <w:tc>
          <w:tcPr>
            <w:tcW w:w="3735" w:type="dxa"/>
            <w:shd w:val="clear" w:color="auto" w:fill="B49C7A"/>
          </w:tcPr>
          <w:p w14:paraId="267E4528" w14:textId="77777777" w:rsidR="00A81494" w:rsidRPr="003B1361" w:rsidRDefault="00A81494" w:rsidP="003A5AC0">
            <w:pPr>
              <w:jc w:val="both"/>
              <w:rPr>
                <w:b/>
                <w:bCs/>
                <w:color w:val="FFFFFF" w:themeColor="background1"/>
              </w:rPr>
            </w:pPr>
            <w:r w:rsidRPr="003B1361">
              <w:rPr>
                <w:b/>
                <w:bCs/>
                <w:color w:val="FFFFFF" w:themeColor="background1"/>
              </w:rPr>
              <w:t>Description of Changes/Review</w:t>
            </w:r>
          </w:p>
        </w:tc>
      </w:tr>
      <w:tr w:rsidR="00A81494" w14:paraId="1213889B" w14:textId="77777777" w:rsidTr="004A4F8E">
        <w:tc>
          <w:tcPr>
            <w:tcW w:w="1040" w:type="dxa"/>
          </w:tcPr>
          <w:p w14:paraId="25E2C3AF" w14:textId="77777777" w:rsidR="00A81494" w:rsidRPr="00982C05" w:rsidRDefault="00A81494" w:rsidP="003A5AC0">
            <w:pPr>
              <w:jc w:val="both"/>
              <w:rPr>
                <w:color w:val="434343"/>
              </w:rPr>
            </w:pPr>
            <w:r w:rsidRPr="00982C05">
              <w:rPr>
                <w:color w:val="434343"/>
              </w:rPr>
              <w:t>1</w:t>
            </w:r>
          </w:p>
        </w:tc>
        <w:tc>
          <w:tcPr>
            <w:tcW w:w="1794" w:type="dxa"/>
          </w:tcPr>
          <w:p w14:paraId="0779CE78" w14:textId="3DAEB3A1" w:rsidR="00A81494" w:rsidRPr="00982C05" w:rsidRDefault="00A81494" w:rsidP="003A5AC0">
            <w:pPr>
              <w:jc w:val="both"/>
              <w:rPr>
                <w:color w:val="434343"/>
              </w:rPr>
            </w:pPr>
            <w:r w:rsidRPr="00982C05">
              <w:rPr>
                <w:color w:val="434343"/>
              </w:rPr>
              <w:t xml:space="preserve">1 </w:t>
            </w:r>
            <w:r w:rsidR="00982C05" w:rsidRPr="00982C05">
              <w:rPr>
                <w:color w:val="434343"/>
              </w:rPr>
              <w:t xml:space="preserve">Nov </w:t>
            </w:r>
            <w:r w:rsidRPr="00982C05">
              <w:rPr>
                <w:color w:val="434343"/>
              </w:rPr>
              <w:t>2023</w:t>
            </w:r>
          </w:p>
        </w:tc>
        <w:tc>
          <w:tcPr>
            <w:tcW w:w="1126" w:type="dxa"/>
          </w:tcPr>
          <w:p w14:paraId="66F2866B" w14:textId="034234AF" w:rsidR="00A81494" w:rsidRPr="00982C05" w:rsidRDefault="006E4CA9" w:rsidP="003A5AC0">
            <w:pPr>
              <w:jc w:val="both"/>
              <w:rPr>
                <w:color w:val="434343"/>
              </w:rPr>
            </w:pPr>
            <w:r>
              <w:rPr>
                <w:color w:val="434343"/>
              </w:rPr>
              <w:t>L. Barker</w:t>
            </w:r>
          </w:p>
        </w:tc>
        <w:tc>
          <w:tcPr>
            <w:tcW w:w="1321" w:type="dxa"/>
          </w:tcPr>
          <w:p w14:paraId="1F6EEC4E" w14:textId="77777777" w:rsidR="00A81494" w:rsidRDefault="006E4CA9" w:rsidP="003A5AC0">
            <w:pPr>
              <w:jc w:val="both"/>
              <w:rPr>
                <w:color w:val="434343"/>
              </w:rPr>
            </w:pPr>
            <w:r>
              <w:rPr>
                <w:color w:val="434343"/>
              </w:rPr>
              <w:t>L. Barker</w:t>
            </w:r>
          </w:p>
          <w:p w14:paraId="011B92E3" w14:textId="0DA0D607" w:rsidR="006E4CA9" w:rsidRPr="00982C05" w:rsidRDefault="006E4CA9" w:rsidP="003A5AC0">
            <w:pPr>
              <w:jc w:val="both"/>
              <w:rPr>
                <w:color w:val="434343"/>
              </w:rPr>
            </w:pPr>
            <w:r>
              <w:rPr>
                <w:color w:val="434343"/>
              </w:rPr>
              <w:t>M. Parker</w:t>
            </w:r>
          </w:p>
        </w:tc>
        <w:tc>
          <w:tcPr>
            <w:tcW w:w="3735" w:type="dxa"/>
          </w:tcPr>
          <w:p w14:paraId="19DEC40B" w14:textId="12359FC8" w:rsidR="00A81494" w:rsidRPr="00982C05" w:rsidRDefault="00982C05" w:rsidP="003A5AC0">
            <w:pPr>
              <w:jc w:val="both"/>
              <w:rPr>
                <w:color w:val="434343"/>
              </w:rPr>
            </w:pPr>
            <w:r>
              <w:rPr>
                <w:color w:val="434343"/>
              </w:rPr>
              <w:t>First version of the Policy.</w:t>
            </w:r>
          </w:p>
        </w:tc>
      </w:tr>
      <w:tr w:rsidR="00A5411A" w14:paraId="1EBAB21C" w14:textId="77777777" w:rsidTr="004A4F8E">
        <w:tc>
          <w:tcPr>
            <w:tcW w:w="1040" w:type="dxa"/>
          </w:tcPr>
          <w:p w14:paraId="126C608A" w14:textId="76FB420D" w:rsidR="00A5411A" w:rsidRDefault="00A5411A" w:rsidP="00A5411A">
            <w:pPr>
              <w:jc w:val="both"/>
              <w:rPr>
                <w:color w:val="434343"/>
              </w:rPr>
            </w:pPr>
            <w:r>
              <w:rPr>
                <w:color w:val="434343"/>
              </w:rPr>
              <w:t>2</w:t>
            </w:r>
          </w:p>
        </w:tc>
        <w:tc>
          <w:tcPr>
            <w:tcW w:w="1794" w:type="dxa"/>
          </w:tcPr>
          <w:p w14:paraId="62C04F22" w14:textId="4388F355" w:rsidR="00A5411A" w:rsidRDefault="00A5411A" w:rsidP="00A5411A">
            <w:pPr>
              <w:jc w:val="both"/>
              <w:rPr>
                <w:color w:val="434343"/>
              </w:rPr>
            </w:pPr>
            <w:r>
              <w:rPr>
                <w:color w:val="434343"/>
              </w:rPr>
              <w:t>10 Dec 2023</w:t>
            </w:r>
          </w:p>
        </w:tc>
        <w:tc>
          <w:tcPr>
            <w:tcW w:w="1126" w:type="dxa"/>
          </w:tcPr>
          <w:p w14:paraId="06A8A801" w14:textId="0B6BDC96" w:rsidR="00A5411A" w:rsidRDefault="00A5411A" w:rsidP="00A5411A">
            <w:pPr>
              <w:jc w:val="both"/>
              <w:rPr>
                <w:color w:val="434343"/>
              </w:rPr>
            </w:pPr>
            <w:r>
              <w:rPr>
                <w:color w:val="434343"/>
              </w:rPr>
              <w:t>L. Barker</w:t>
            </w:r>
          </w:p>
        </w:tc>
        <w:tc>
          <w:tcPr>
            <w:tcW w:w="1321" w:type="dxa"/>
          </w:tcPr>
          <w:p w14:paraId="43FA0B82" w14:textId="77777777" w:rsidR="00A5411A" w:rsidRDefault="00A5411A" w:rsidP="00A5411A">
            <w:pPr>
              <w:jc w:val="both"/>
              <w:rPr>
                <w:color w:val="434343"/>
              </w:rPr>
            </w:pPr>
            <w:r>
              <w:rPr>
                <w:color w:val="434343"/>
              </w:rPr>
              <w:t>L. Barker</w:t>
            </w:r>
          </w:p>
          <w:p w14:paraId="0F41E5AA" w14:textId="6A9849B9" w:rsidR="00A5411A" w:rsidRDefault="00A5411A" w:rsidP="00A5411A">
            <w:pPr>
              <w:jc w:val="both"/>
              <w:rPr>
                <w:color w:val="434343"/>
              </w:rPr>
            </w:pPr>
            <w:r>
              <w:rPr>
                <w:color w:val="434343"/>
              </w:rPr>
              <w:t>M. Parker</w:t>
            </w:r>
          </w:p>
        </w:tc>
        <w:tc>
          <w:tcPr>
            <w:tcW w:w="3735" w:type="dxa"/>
          </w:tcPr>
          <w:p w14:paraId="6E14602E" w14:textId="38BC2822" w:rsidR="00A5411A" w:rsidRDefault="009E77CE" w:rsidP="00A5411A">
            <w:pPr>
              <w:jc w:val="both"/>
              <w:rPr>
                <w:color w:val="434343"/>
              </w:rPr>
            </w:pPr>
            <w:r>
              <w:rPr>
                <w:color w:val="434343"/>
              </w:rPr>
              <w:t xml:space="preserve">Amended to include how a learner may escalate a complaint to the </w:t>
            </w:r>
            <w:r w:rsidR="002417FB">
              <w:rPr>
                <w:color w:val="434343"/>
              </w:rPr>
              <w:t xml:space="preserve">Awarding Organisation and </w:t>
            </w:r>
            <w:r>
              <w:rPr>
                <w:color w:val="434343"/>
              </w:rPr>
              <w:t>Qualification Regulator</w:t>
            </w:r>
            <w:r w:rsidR="00E26A3B">
              <w:rPr>
                <w:color w:val="434343"/>
              </w:rPr>
              <w:t xml:space="preserve"> (Section 3.5)</w:t>
            </w:r>
          </w:p>
        </w:tc>
      </w:tr>
      <w:tr w:rsidR="00A5411A" w14:paraId="0447FC55" w14:textId="77777777" w:rsidTr="004A4F8E">
        <w:tc>
          <w:tcPr>
            <w:tcW w:w="1040" w:type="dxa"/>
          </w:tcPr>
          <w:p w14:paraId="7B4F9723" w14:textId="2A2ACFA2" w:rsidR="00A5411A" w:rsidRDefault="003C07CB" w:rsidP="00A5411A">
            <w:pPr>
              <w:jc w:val="both"/>
              <w:rPr>
                <w:color w:val="434343"/>
              </w:rPr>
            </w:pPr>
            <w:r>
              <w:rPr>
                <w:color w:val="434343"/>
              </w:rPr>
              <w:t>3</w:t>
            </w:r>
          </w:p>
        </w:tc>
        <w:tc>
          <w:tcPr>
            <w:tcW w:w="1794" w:type="dxa"/>
          </w:tcPr>
          <w:p w14:paraId="3766180B" w14:textId="5086CD56" w:rsidR="00A5411A" w:rsidRDefault="003C07CB" w:rsidP="00A5411A">
            <w:pPr>
              <w:jc w:val="both"/>
              <w:rPr>
                <w:color w:val="434343"/>
              </w:rPr>
            </w:pPr>
            <w:r>
              <w:rPr>
                <w:color w:val="434343"/>
              </w:rPr>
              <w:t>1 Jul 2025</w:t>
            </w:r>
          </w:p>
        </w:tc>
        <w:tc>
          <w:tcPr>
            <w:tcW w:w="1126" w:type="dxa"/>
          </w:tcPr>
          <w:p w14:paraId="62B54146" w14:textId="1D0C4588" w:rsidR="00A5411A" w:rsidRDefault="003C07CB" w:rsidP="00A5411A">
            <w:pPr>
              <w:jc w:val="both"/>
              <w:rPr>
                <w:color w:val="434343"/>
              </w:rPr>
            </w:pPr>
            <w:r>
              <w:rPr>
                <w:color w:val="434343"/>
              </w:rPr>
              <w:t>L. Barker</w:t>
            </w:r>
          </w:p>
        </w:tc>
        <w:tc>
          <w:tcPr>
            <w:tcW w:w="1321" w:type="dxa"/>
          </w:tcPr>
          <w:p w14:paraId="0D8CCA7D" w14:textId="77777777" w:rsidR="003C07CB" w:rsidRDefault="003C07CB" w:rsidP="003C07CB">
            <w:pPr>
              <w:jc w:val="both"/>
              <w:rPr>
                <w:color w:val="434343"/>
              </w:rPr>
            </w:pPr>
            <w:r>
              <w:rPr>
                <w:color w:val="434343"/>
              </w:rPr>
              <w:t>L. Barker</w:t>
            </w:r>
          </w:p>
          <w:p w14:paraId="5E960E1E" w14:textId="6D40E231" w:rsidR="00A5411A" w:rsidRDefault="003C07CB" w:rsidP="003C07CB">
            <w:pPr>
              <w:jc w:val="both"/>
              <w:rPr>
                <w:color w:val="434343"/>
              </w:rPr>
            </w:pPr>
            <w:r>
              <w:rPr>
                <w:color w:val="434343"/>
              </w:rPr>
              <w:t>M. Parker</w:t>
            </w:r>
          </w:p>
        </w:tc>
        <w:tc>
          <w:tcPr>
            <w:tcW w:w="3735" w:type="dxa"/>
          </w:tcPr>
          <w:p w14:paraId="3DA8801F" w14:textId="2BE45822" w:rsidR="00A5411A" w:rsidRDefault="004A4F8E" w:rsidP="00A5411A">
            <w:pPr>
              <w:jc w:val="both"/>
              <w:rPr>
                <w:color w:val="434343"/>
              </w:rPr>
            </w:pPr>
            <w:r>
              <w:rPr>
                <w:color w:val="434343"/>
              </w:rPr>
              <w:t>Amended to include RLSS as an awarding body (Section 3.</w:t>
            </w:r>
            <w:r w:rsidR="00EA1C36">
              <w:rPr>
                <w:color w:val="434343"/>
              </w:rPr>
              <w:t>6</w:t>
            </w:r>
            <w:r>
              <w:rPr>
                <w:color w:val="434343"/>
              </w:rPr>
              <w:t>).</w:t>
            </w:r>
          </w:p>
        </w:tc>
      </w:tr>
      <w:tr w:rsidR="00A5411A" w14:paraId="0CA24C13" w14:textId="77777777" w:rsidTr="004A4F8E">
        <w:tc>
          <w:tcPr>
            <w:tcW w:w="1040" w:type="dxa"/>
          </w:tcPr>
          <w:p w14:paraId="58A7FEE7" w14:textId="77777777" w:rsidR="00A5411A" w:rsidRDefault="00A5411A" w:rsidP="00A5411A">
            <w:pPr>
              <w:jc w:val="both"/>
              <w:rPr>
                <w:color w:val="434343"/>
              </w:rPr>
            </w:pPr>
          </w:p>
        </w:tc>
        <w:tc>
          <w:tcPr>
            <w:tcW w:w="1794" w:type="dxa"/>
          </w:tcPr>
          <w:p w14:paraId="3FEABC55" w14:textId="77777777" w:rsidR="00A5411A" w:rsidRDefault="00A5411A" w:rsidP="00A5411A">
            <w:pPr>
              <w:jc w:val="both"/>
              <w:rPr>
                <w:color w:val="434343"/>
              </w:rPr>
            </w:pPr>
          </w:p>
        </w:tc>
        <w:tc>
          <w:tcPr>
            <w:tcW w:w="1126" w:type="dxa"/>
          </w:tcPr>
          <w:p w14:paraId="2B47EF9B" w14:textId="77777777" w:rsidR="00A5411A" w:rsidRDefault="00A5411A" w:rsidP="00A5411A">
            <w:pPr>
              <w:jc w:val="both"/>
              <w:rPr>
                <w:color w:val="434343"/>
              </w:rPr>
            </w:pPr>
          </w:p>
        </w:tc>
        <w:tc>
          <w:tcPr>
            <w:tcW w:w="1321" w:type="dxa"/>
          </w:tcPr>
          <w:p w14:paraId="01BFE847" w14:textId="77777777" w:rsidR="00A5411A" w:rsidRDefault="00A5411A" w:rsidP="00A5411A">
            <w:pPr>
              <w:jc w:val="both"/>
              <w:rPr>
                <w:color w:val="434343"/>
              </w:rPr>
            </w:pPr>
          </w:p>
        </w:tc>
        <w:tc>
          <w:tcPr>
            <w:tcW w:w="3735" w:type="dxa"/>
          </w:tcPr>
          <w:p w14:paraId="3A3E8C8A" w14:textId="77777777" w:rsidR="00A5411A" w:rsidRDefault="00A5411A" w:rsidP="00A5411A">
            <w:pPr>
              <w:jc w:val="both"/>
              <w:rPr>
                <w:color w:val="434343"/>
              </w:rPr>
            </w:pPr>
          </w:p>
        </w:tc>
      </w:tr>
    </w:tbl>
    <w:p w14:paraId="494D3963" w14:textId="77777777" w:rsidR="00A81494" w:rsidRDefault="00A81494" w:rsidP="003A5AC0">
      <w:pPr>
        <w:jc w:val="both"/>
        <w:rPr>
          <w:b/>
          <w:bCs/>
          <w:color w:val="434343"/>
          <w:u w:val="single"/>
        </w:rPr>
      </w:pPr>
    </w:p>
    <w:p w14:paraId="5FB7FC49" w14:textId="0A70779D" w:rsidR="000B755E" w:rsidRPr="00FF5C15" w:rsidRDefault="000B755E" w:rsidP="00C649BD">
      <w:pPr>
        <w:pStyle w:val="ListParagraph"/>
        <w:numPr>
          <w:ilvl w:val="0"/>
          <w:numId w:val="1"/>
        </w:numPr>
        <w:spacing w:after="240"/>
        <w:ind w:left="0"/>
        <w:jc w:val="both"/>
        <w:rPr>
          <w:b/>
          <w:bCs/>
          <w:color w:val="434343"/>
          <w:u w:val="single"/>
        </w:rPr>
      </w:pPr>
      <w:r w:rsidRPr="00FF5C15">
        <w:rPr>
          <w:b/>
          <w:bCs/>
          <w:color w:val="434343"/>
          <w:u w:val="single"/>
        </w:rPr>
        <w:t>Purpose and Scope</w:t>
      </w:r>
    </w:p>
    <w:p w14:paraId="190F6360" w14:textId="2598DBA7" w:rsidR="00CF3D53" w:rsidRPr="00CF3D53" w:rsidRDefault="00CF3D53" w:rsidP="006F60EE">
      <w:pPr>
        <w:spacing w:after="240"/>
        <w:jc w:val="both"/>
        <w:rPr>
          <w:color w:val="434343"/>
        </w:rPr>
      </w:pPr>
      <w:r w:rsidRPr="00CF3D53">
        <w:rPr>
          <w:color w:val="434343"/>
        </w:rPr>
        <w:t xml:space="preserve">This </w:t>
      </w:r>
      <w:r w:rsidR="00FB4929">
        <w:rPr>
          <w:color w:val="434343"/>
        </w:rPr>
        <w:t>policy</w:t>
      </w:r>
      <w:r w:rsidRPr="00CF3D53">
        <w:rPr>
          <w:color w:val="434343"/>
        </w:rPr>
        <w:t xml:space="preserve"> sets out </w:t>
      </w:r>
      <w:r w:rsidR="00FB4929">
        <w:rPr>
          <w:color w:val="434343"/>
        </w:rPr>
        <w:t>The Arker Group Ltd (the Company)</w:t>
      </w:r>
      <w:r w:rsidRPr="00CF3D53">
        <w:rPr>
          <w:color w:val="434343"/>
        </w:rPr>
        <w:t xml:space="preserve"> complaints policy and procedure and is </w:t>
      </w:r>
      <w:r w:rsidR="00FB4929">
        <w:rPr>
          <w:color w:val="434343"/>
        </w:rPr>
        <w:t>applicable for</w:t>
      </w:r>
      <w:r w:rsidRPr="00CF3D53">
        <w:rPr>
          <w:color w:val="434343"/>
        </w:rPr>
        <w:t xml:space="preserve"> all staff, learners and other interested parties who </w:t>
      </w:r>
      <w:r w:rsidR="006F60EE">
        <w:rPr>
          <w:color w:val="434343"/>
        </w:rPr>
        <w:t>are affected both</w:t>
      </w:r>
      <w:r w:rsidRPr="00CF3D53">
        <w:rPr>
          <w:color w:val="434343"/>
        </w:rPr>
        <w:t xml:space="preserve"> direct</w:t>
      </w:r>
      <w:r w:rsidR="006F60EE">
        <w:rPr>
          <w:color w:val="434343"/>
        </w:rPr>
        <w:t>ly and/</w:t>
      </w:r>
      <w:r w:rsidRPr="00CF3D53">
        <w:rPr>
          <w:color w:val="434343"/>
        </w:rPr>
        <w:t>or indirect</w:t>
      </w:r>
      <w:r w:rsidR="006F60EE">
        <w:rPr>
          <w:color w:val="434343"/>
        </w:rPr>
        <w:t>ly</w:t>
      </w:r>
      <w:r w:rsidRPr="00CF3D53">
        <w:rPr>
          <w:color w:val="434343"/>
        </w:rPr>
        <w:t xml:space="preserve"> </w:t>
      </w:r>
      <w:r w:rsidRPr="00AC44C5">
        <w:rPr>
          <w:color w:val="434343"/>
        </w:rPr>
        <w:t>with</w:t>
      </w:r>
      <w:r w:rsidRPr="00CF3D53">
        <w:rPr>
          <w:color w:val="434343"/>
        </w:rPr>
        <w:t xml:space="preserve"> </w:t>
      </w:r>
      <w:r w:rsidR="006F60EE">
        <w:rPr>
          <w:color w:val="434343"/>
        </w:rPr>
        <w:t>the Company undertaking</w:t>
      </w:r>
      <w:r w:rsidRPr="00CF3D53">
        <w:rPr>
          <w:color w:val="434343"/>
        </w:rPr>
        <w:t>. This policy aims to</w:t>
      </w:r>
      <w:r w:rsidR="006F60EE">
        <w:rPr>
          <w:color w:val="434343"/>
        </w:rPr>
        <w:t>:</w:t>
      </w:r>
    </w:p>
    <w:p w14:paraId="6396F6DE" w14:textId="15E0C08F" w:rsidR="00CF3D53" w:rsidRPr="006F60EE" w:rsidRDefault="008B5315" w:rsidP="006F60EE">
      <w:pPr>
        <w:pStyle w:val="ListParagraph"/>
        <w:numPr>
          <w:ilvl w:val="0"/>
          <w:numId w:val="21"/>
        </w:numPr>
        <w:jc w:val="both"/>
        <w:rPr>
          <w:color w:val="434343"/>
        </w:rPr>
      </w:pPr>
      <w:r>
        <w:rPr>
          <w:color w:val="434343"/>
        </w:rPr>
        <w:t>P</w:t>
      </w:r>
      <w:r w:rsidR="00CF3D53" w:rsidRPr="006F60EE">
        <w:rPr>
          <w:color w:val="434343"/>
        </w:rPr>
        <w:t>rovide a clear and robust framework for raising concerns and to support those not satisfied with our services.</w:t>
      </w:r>
    </w:p>
    <w:p w14:paraId="3189979D" w14:textId="4C308153" w:rsidR="00CF3D53" w:rsidRPr="006F60EE" w:rsidRDefault="008B5315" w:rsidP="006F60EE">
      <w:pPr>
        <w:pStyle w:val="ListParagraph"/>
        <w:numPr>
          <w:ilvl w:val="0"/>
          <w:numId w:val="21"/>
        </w:numPr>
        <w:jc w:val="both"/>
        <w:rPr>
          <w:color w:val="434343"/>
        </w:rPr>
      </w:pPr>
      <w:r>
        <w:rPr>
          <w:color w:val="434343"/>
        </w:rPr>
        <w:t>E</w:t>
      </w:r>
      <w:r w:rsidR="00CF3D53" w:rsidRPr="006F60EE">
        <w:rPr>
          <w:color w:val="434343"/>
        </w:rPr>
        <w:t xml:space="preserve">nsure systems </w:t>
      </w:r>
      <w:r>
        <w:rPr>
          <w:color w:val="434343"/>
        </w:rPr>
        <w:t xml:space="preserve">are </w:t>
      </w:r>
      <w:r w:rsidR="00CF3D53" w:rsidRPr="006F60EE">
        <w:rPr>
          <w:color w:val="434343"/>
        </w:rPr>
        <w:t>in place to implement improvements</w:t>
      </w:r>
      <w:r>
        <w:rPr>
          <w:color w:val="434343"/>
        </w:rPr>
        <w:t xml:space="preserve"> resulting from </w:t>
      </w:r>
      <w:r w:rsidR="00CF3D53" w:rsidRPr="006F60EE">
        <w:rPr>
          <w:color w:val="434343"/>
        </w:rPr>
        <w:t>a complaint (lessons learned).</w:t>
      </w:r>
    </w:p>
    <w:p w14:paraId="068A2A45" w14:textId="368AE8A6" w:rsidR="00CF3D53" w:rsidRPr="006F60EE" w:rsidRDefault="008B5315" w:rsidP="006F60EE">
      <w:pPr>
        <w:pStyle w:val="ListParagraph"/>
        <w:numPr>
          <w:ilvl w:val="0"/>
          <w:numId w:val="21"/>
        </w:numPr>
        <w:jc w:val="both"/>
        <w:rPr>
          <w:color w:val="434343"/>
        </w:rPr>
      </w:pPr>
      <w:r>
        <w:rPr>
          <w:color w:val="434343"/>
        </w:rPr>
        <w:t xml:space="preserve">Ensure </w:t>
      </w:r>
      <w:r w:rsidR="00CF3D53" w:rsidRPr="006F60EE">
        <w:rPr>
          <w:color w:val="434343"/>
        </w:rPr>
        <w:t xml:space="preserve">a prompt resolution. </w:t>
      </w:r>
    </w:p>
    <w:p w14:paraId="7D84506F" w14:textId="58220039" w:rsidR="00CF3D53" w:rsidRPr="006F60EE" w:rsidRDefault="008B5315" w:rsidP="006F60EE">
      <w:pPr>
        <w:pStyle w:val="ListParagraph"/>
        <w:numPr>
          <w:ilvl w:val="0"/>
          <w:numId w:val="21"/>
        </w:numPr>
        <w:jc w:val="both"/>
        <w:rPr>
          <w:color w:val="434343"/>
        </w:rPr>
      </w:pPr>
      <w:r>
        <w:rPr>
          <w:color w:val="434343"/>
        </w:rPr>
        <w:t>E</w:t>
      </w:r>
      <w:r w:rsidR="00CF3D53" w:rsidRPr="006F60EE">
        <w:rPr>
          <w:color w:val="434343"/>
        </w:rPr>
        <w:t>nsure all complaints are treated seriously, equitably and without prejudice.</w:t>
      </w:r>
    </w:p>
    <w:p w14:paraId="580EBB71" w14:textId="3EB535EC" w:rsidR="00CF3D53" w:rsidRPr="006F60EE" w:rsidRDefault="008B5315" w:rsidP="006F60EE">
      <w:pPr>
        <w:pStyle w:val="ListParagraph"/>
        <w:numPr>
          <w:ilvl w:val="0"/>
          <w:numId w:val="21"/>
        </w:numPr>
        <w:jc w:val="both"/>
        <w:rPr>
          <w:color w:val="434343"/>
        </w:rPr>
      </w:pPr>
      <w:r>
        <w:rPr>
          <w:color w:val="434343"/>
        </w:rPr>
        <w:t>R</w:t>
      </w:r>
      <w:r w:rsidR="00CF3D53" w:rsidRPr="006F60EE">
        <w:rPr>
          <w:color w:val="434343"/>
        </w:rPr>
        <w:t xml:space="preserve">aise awareness of policy and procedures and ensure all those responsible for the delivery, training, assessment of </w:t>
      </w:r>
      <w:r w:rsidR="00D24419">
        <w:rPr>
          <w:color w:val="434343"/>
        </w:rPr>
        <w:t xml:space="preserve">training and </w:t>
      </w:r>
      <w:r w:rsidR="00CF3D53" w:rsidRPr="006F60EE">
        <w:rPr>
          <w:color w:val="434343"/>
        </w:rPr>
        <w:t>qualifications understand appropriate processes.</w:t>
      </w:r>
    </w:p>
    <w:p w14:paraId="4839C753" w14:textId="3B44F09A" w:rsidR="00CF3D53" w:rsidRPr="006F60EE" w:rsidRDefault="00CF3D53" w:rsidP="006F60EE">
      <w:pPr>
        <w:pStyle w:val="ListParagraph"/>
        <w:numPr>
          <w:ilvl w:val="0"/>
          <w:numId w:val="21"/>
        </w:numPr>
        <w:jc w:val="both"/>
        <w:rPr>
          <w:color w:val="434343"/>
        </w:rPr>
      </w:pPr>
      <w:r w:rsidRPr="006F60EE">
        <w:rPr>
          <w:color w:val="434343"/>
        </w:rPr>
        <w:t xml:space="preserve">To provide protection and resolution for learners, customers and stakeholders and any others who seek to complain or appeal against an action taken by </w:t>
      </w:r>
      <w:r w:rsidR="00D24419">
        <w:rPr>
          <w:color w:val="434343"/>
        </w:rPr>
        <w:t>the Company</w:t>
      </w:r>
      <w:r w:rsidRPr="006F60EE">
        <w:rPr>
          <w:color w:val="434343"/>
        </w:rPr>
        <w:t>.</w:t>
      </w:r>
    </w:p>
    <w:p w14:paraId="6BA09CDB" w14:textId="77777777" w:rsidR="00CF3D53" w:rsidRPr="00CF3D53" w:rsidRDefault="00CF3D53" w:rsidP="00CF3D53">
      <w:pPr>
        <w:jc w:val="both"/>
        <w:rPr>
          <w:color w:val="434343"/>
        </w:rPr>
      </w:pPr>
    </w:p>
    <w:p w14:paraId="2C3D3693" w14:textId="381F7679" w:rsidR="00DD356C" w:rsidRDefault="00CF3D53" w:rsidP="00CF3D53">
      <w:pPr>
        <w:jc w:val="both"/>
        <w:rPr>
          <w:color w:val="434343"/>
        </w:rPr>
      </w:pPr>
      <w:r w:rsidRPr="00CF3D53">
        <w:rPr>
          <w:color w:val="434343"/>
        </w:rPr>
        <w:t xml:space="preserve">This policy contains information for those who wish to formally complain about </w:t>
      </w:r>
      <w:r w:rsidR="006F60EE">
        <w:rPr>
          <w:color w:val="434343"/>
        </w:rPr>
        <w:t>the Company’s</w:t>
      </w:r>
      <w:r w:rsidRPr="00CF3D53">
        <w:rPr>
          <w:color w:val="434343"/>
        </w:rPr>
        <w:t xml:space="preserve"> services, including staff, learners, other stakeholders and subcontractors.</w:t>
      </w:r>
    </w:p>
    <w:p w14:paraId="7BA33D66" w14:textId="77777777" w:rsidR="0051543F" w:rsidRPr="00FF5C15" w:rsidRDefault="0051543F" w:rsidP="00CF3D53">
      <w:pPr>
        <w:jc w:val="both"/>
        <w:rPr>
          <w:color w:val="434343"/>
        </w:rPr>
      </w:pPr>
    </w:p>
    <w:p w14:paraId="2BCC5200" w14:textId="4833E7F2" w:rsidR="000B755E" w:rsidRPr="00FF5C15" w:rsidRDefault="000B755E" w:rsidP="000F643E">
      <w:pPr>
        <w:pStyle w:val="ListParagraph"/>
        <w:numPr>
          <w:ilvl w:val="0"/>
          <w:numId w:val="12"/>
        </w:numPr>
        <w:ind w:left="0"/>
        <w:jc w:val="both"/>
        <w:rPr>
          <w:b/>
          <w:bCs/>
          <w:color w:val="434343"/>
          <w:u w:val="single"/>
        </w:rPr>
      </w:pPr>
      <w:r w:rsidRPr="00FF5C15">
        <w:rPr>
          <w:b/>
          <w:bCs/>
          <w:color w:val="434343"/>
          <w:u w:val="single"/>
        </w:rPr>
        <w:t>Reference Documents</w:t>
      </w:r>
    </w:p>
    <w:p w14:paraId="58728BC9" w14:textId="77777777" w:rsidR="000B755E" w:rsidRPr="00FF5C15" w:rsidRDefault="000B755E" w:rsidP="003A5AC0">
      <w:pPr>
        <w:jc w:val="both"/>
        <w:rPr>
          <w:color w:val="434343"/>
        </w:rPr>
      </w:pPr>
    </w:p>
    <w:p w14:paraId="363B0822" w14:textId="1A2A738B" w:rsidR="00E97A74" w:rsidRPr="00FF5C15" w:rsidRDefault="00E97A74" w:rsidP="00E97A74">
      <w:pPr>
        <w:pStyle w:val="ListParagraph"/>
        <w:numPr>
          <w:ilvl w:val="0"/>
          <w:numId w:val="3"/>
        </w:numPr>
        <w:jc w:val="both"/>
        <w:rPr>
          <w:color w:val="434343"/>
        </w:rPr>
      </w:pPr>
      <w:r w:rsidRPr="00FF5C15">
        <w:rPr>
          <w:color w:val="434343"/>
        </w:rPr>
        <w:t xml:space="preserve">The Arker Group Ltd – </w:t>
      </w:r>
      <w:r w:rsidR="00D30DFC">
        <w:rPr>
          <w:color w:val="434343"/>
        </w:rPr>
        <w:t>Appeals</w:t>
      </w:r>
      <w:r w:rsidRPr="00FF5C15">
        <w:rPr>
          <w:color w:val="434343"/>
        </w:rPr>
        <w:t xml:space="preserve"> Policy.</w:t>
      </w:r>
    </w:p>
    <w:p w14:paraId="4327FA12" w14:textId="014459F0" w:rsidR="00750CE1" w:rsidRPr="00FF5C15" w:rsidRDefault="00750CE1" w:rsidP="003A5AC0">
      <w:pPr>
        <w:pStyle w:val="ListParagraph"/>
        <w:numPr>
          <w:ilvl w:val="0"/>
          <w:numId w:val="3"/>
        </w:numPr>
        <w:jc w:val="both"/>
        <w:rPr>
          <w:color w:val="434343"/>
        </w:rPr>
      </w:pPr>
      <w:r w:rsidRPr="00FF5C15">
        <w:rPr>
          <w:color w:val="434343"/>
        </w:rPr>
        <w:t>The Arker Group Ltd – Health, Safety and Welfare Policy</w:t>
      </w:r>
      <w:r w:rsidR="0059427B" w:rsidRPr="00FF5C15">
        <w:rPr>
          <w:color w:val="434343"/>
        </w:rPr>
        <w:t>.</w:t>
      </w:r>
    </w:p>
    <w:p w14:paraId="03353A0F" w14:textId="0A68E408" w:rsidR="0025764E" w:rsidRPr="0025764E" w:rsidRDefault="0025764E" w:rsidP="0025764E">
      <w:pPr>
        <w:pStyle w:val="ListParagraph"/>
        <w:numPr>
          <w:ilvl w:val="0"/>
          <w:numId w:val="3"/>
        </w:numPr>
        <w:jc w:val="both"/>
        <w:rPr>
          <w:color w:val="434343"/>
        </w:rPr>
      </w:pPr>
      <w:r w:rsidRPr="00FF5C15">
        <w:rPr>
          <w:color w:val="434343"/>
        </w:rPr>
        <w:t xml:space="preserve">The Arker Group Ltd – </w:t>
      </w:r>
      <w:r>
        <w:rPr>
          <w:color w:val="434343"/>
        </w:rPr>
        <w:t xml:space="preserve">Malpractice, Maladministration and Plagiarism </w:t>
      </w:r>
      <w:r w:rsidRPr="00FF5C15">
        <w:rPr>
          <w:color w:val="434343"/>
        </w:rPr>
        <w:t>Policy.</w:t>
      </w:r>
    </w:p>
    <w:p w14:paraId="78833B66" w14:textId="7A851EAF" w:rsidR="00FA3D64" w:rsidRPr="00B7754A" w:rsidRDefault="0059427B" w:rsidP="003A5AC0">
      <w:pPr>
        <w:pStyle w:val="ListParagraph"/>
        <w:numPr>
          <w:ilvl w:val="0"/>
          <w:numId w:val="3"/>
        </w:numPr>
        <w:jc w:val="both"/>
        <w:rPr>
          <w:color w:val="434343"/>
        </w:rPr>
      </w:pPr>
      <w:r w:rsidRPr="00FF5C15">
        <w:rPr>
          <w:color w:val="434343"/>
        </w:rPr>
        <w:t xml:space="preserve">Awarding Body and Regulator </w:t>
      </w:r>
      <w:r w:rsidR="0084149E" w:rsidRPr="00FF5C15">
        <w:rPr>
          <w:color w:val="434343"/>
        </w:rPr>
        <w:t>Appeals Polic</w:t>
      </w:r>
      <w:r w:rsidR="00D04F22" w:rsidRPr="00FF5C15">
        <w:rPr>
          <w:color w:val="434343"/>
        </w:rPr>
        <w:t>ies</w:t>
      </w:r>
      <w:r w:rsidRPr="00FF5C15">
        <w:rPr>
          <w:color w:val="434343"/>
        </w:rPr>
        <w:t>.</w:t>
      </w:r>
    </w:p>
    <w:p w14:paraId="29CE7532" w14:textId="41ECCA71" w:rsidR="00400808" w:rsidRPr="00FF5C15" w:rsidRDefault="00D72AEF" w:rsidP="00026C01">
      <w:pPr>
        <w:pStyle w:val="ListParagraph"/>
        <w:numPr>
          <w:ilvl w:val="0"/>
          <w:numId w:val="12"/>
        </w:numPr>
        <w:spacing w:after="240"/>
        <w:ind w:left="0"/>
        <w:jc w:val="both"/>
        <w:rPr>
          <w:color w:val="434343"/>
        </w:rPr>
      </w:pPr>
      <w:r w:rsidRPr="00FF5C15">
        <w:rPr>
          <w:b/>
          <w:bCs/>
          <w:color w:val="434343"/>
          <w:u w:val="single"/>
        </w:rPr>
        <w:lastRenderedPageBreak/>
        <w:t>Policy</w:t>
      </w:r>
    </w:p>
    <w:p w14:paraId="14547DA4" w14:textId="64EA1F22" w:rsidR="003C21DA" w:rsidRPr="003C21DA" w:rsidRDefault="003C21DA" w:rsidP="003C21DA">
      <w:pPr>
        <w:jc w:val="both"/>
        <w:rPr>
          <w:color w:val="434343"/>
        </w:rPr>
      </w:pPr>
      <w:r w:rsidRPr="003C21DA">
        <w:rPr>
          <w:color w:val="434343"/>
        </w:rPr>
        <w:t>A complaint is a statement that something is unsatisfactory or unacceptable by an organisation or individual, whether verbal or written and requires a response.  Disciplinary appeals are not considered as complaints and therefore do not fall in this process</w:t>
      </w:r>
      <w:r w:rsidR="00DD1751">
        <w:rPr>
          <w:color w:val="434343"/>
        </w:rPr>
        <w:t>. Please refer to the Company Disciplinary and/or Appeals Policy</w:t>
      </w:r>
      <w:r w:rsidR="002D762E">
        <w:rPr>
          <w:color w:val="434343"/>
        </w:rPr>
        <w:t xml:space="preserve">. </w:t>
      </w:r>
    </w:p>
    <w:p w14:paraId="0864ABB6" w14:textId="77777777" w:rsidR="003C21DA" w:rsidRPr="003C21DA" w:rsidRDefault="003C21DA" w:rsidP="003C21DA">
      <w:pPr>
        <w:jc w:val="both"/>
        <w:rPr>
          <w:color w:val="434343"/>
        </w:rPr>
      </w:pPr>
      <w:r w:rsidRPr="003C21DA">
        <w:rPr>
          <w:color w:val="434343"/>
        </w:rPr>
        <w:tab/>
      </w:r>
      <w:r w:rsidRPr="003C21DA">
        <w:rPr>
          <w:color w:val="434343"/>
        </w:rPr>
        <w:tab/>
      </w:r>
    </w:p>
    <w:p w14:paraId="191C2243" w14:textId="4DC18345" w:rsidR="003C21DA" w:rsidRPr="003C21DA" w:rsidRDefault="00FB4929" w:rsidP="003C21DA">
      <w:pPr>
        <w:jc w:val="both"/>
        <w:rPr>
          <w:color w:val="434343"/>
        </w:rPr>
      </w:pPr>
      <w:r>
        <w:rPr>
          <w:color w:val="434343"/>
        </w:rPr>
        <w:t xml:space="preserve">The Company </w:t>
      </w:r>
      <w:r w:rsidR="003C21DA" w:rsidRPr="003C21DA">
        <w:rPr>
          <w:color w:val="434343"/>
        </w:rPr>
        <w:t xml:space="preserve">will take all reasonable steps to ensure any staff involved in the management, assessment and quality assurance of qualifications, including learners, are aware of the contents of this policy and have a complaint handling procedure in place to deal with complaints from learners about the services they receive.  If an individual is unhappy about a service or activity being delivered by us, they should follow our complaints process before bringing the matter to the awarding body. </w:t>
      </w:r>
    </w:p>
    <w:p w14:paraId="675B2035" w14:textId="77777777" w:rsidR="003C21DA" w:rsidRPr="003C21DA" w:rsidRDefault="003C21DA" w:rsidP="003C21DA">
      <w:pPr>
        <w:jc w:val="both"/>
        <w:rPr>
          <w:color w:val="434343"/>
        </w:rPr>
      </w:pPr>
      <w:r w:rsidRPr="003C21DA">
        <w:rPr>
          <w:color w:val="434343"/>
        </w:rPr>
        <w:t xml:space="preserve"> </w:t>
      </w:r>
    </w:p>
    <w:p w14:paraId="3E44D0C9" w14:textId="6476F5EE" w:rsidR="00CE58CF" w:rsidRDefault="003C21DA" w:rsidP="003C21DA">
      <w:pPr>
        <w:jc w:val="both"/>
        <w:rPr>
          <w:color w:val="434343"/>
        </w:rPr>
      </w:pPr>
      <w:r w:rsidRPr="003C21DA">
        <w:rPr>
          <w:color w:val="434343"/>
        </w:rPr>
        <w:t xml:space="preserve">Where there is question about the way an assessment was delivered and/or conducted, and malpractice or maladministration is suspected, concerns should be directed in the first instance to </w:t>
      </w:r>
      <w:r w:rsidR="006A77F6">
        <w:rPr>
          <w:color w:val="434343"/>
        </w:rPr>
        <w:t>the Company in</w:t>
      </w:r>
      <w:r w:rsidRPr="003C21DA">
        <w:rPr>
          <w:color w:val="434343"/>
        </w:rPr>
        <w:t xml:space="preserve"> accordance with </w:t>
      </w:r>
      <w:r w:rsidR="0025764E">
        <w:rPr>
          <w:color w:val="434343"/>
        </w:rPr>
        <w:t xml:space="preserve">the Malpractice, Maladministration and Plagiarism </w:t>
      </w:r>
      <w:r w:rsidR="0025764E" w:rsidRPr="00FF5C15">
        <w:rPr>
          <w:color w:val="434343"/>
        </w:rPr>
        <w:t>Policy</w:t>
      </w:r>
      <w:r w:rsidRPr="003C21DA">
        <w:rPr>
          <w:color w:val="434343"/>
        </w:rPr>
        <w:t xml:space="preserve">.  </w:t>
      </w:r>
    </w:p>
    <w:p w14:paraId="7B0B730C" w14:textId="77777777" w:rsidR="00B15940" w:rsidRDefault="00B15940" w:rsidP="003C21DA">
      <w:pPr>
        <w:jc w:val="both"/>
        <w:rPr>
          <w:color w:val="434343"/>
        </w:rPr>
      </w:pPr>
    </w:p>
    <w:p w14:paraId="13341234" w14:textId="721B3499" w:rsidR="00367045" w:rsidRPr="00FF5C15" w:rsidRDefault="00367045" w:rsidP="00367045">
      <w:pPr>
        <w:pStyle w:val="ListParagraph"/>
        <w:numPr>
          <w:ilvl w:val="1"/>
          <w:numId w:val="5"/>
        </w:numPr>
        <w:spacing w:after="240"/>
        <w:ind w:left="0"/>
        <w:jc w:val="both"/>
        <w:rPr>
          <w:b/>
          <w:bCs/>
          <w:color w:val="434343"/>
          <w:u w:val="single"/>
        </w:rPr>
      </w:pPr>
      <w:r w:rsidRPr="00FF5C15">
        <w:rPr>
          <w:b/>
          <w:bCs/>
          <w:color w:val="434343"/>
          <w:u w:val="single"/>
        </w:rPr>
        <w:t xml:space="preserve">Process for </w:t>
      </w:r>
      <w:r>
        <w:rPr>
          <w:b/>
          <w:bCs/>
          <w:color w:val="434343"/>
          <w:u w:val="single"/>
        </w:rPr>
        <w:t>Raising a Complaint</w:t>
      </w:r>
    </w:p>
    <w:p w14:paraId="291E47F1" w14:textId="56B22B26" w:rsidR="003C21DA" w:rsidRPr="003C21DA" w:rsidRDefault="003C21DA" w:rsidP="003C21DA">
      <w:pPr>
        <w:jc w:val="both"/>
        <w:rPr>
          <w:color w:val="434343"/>
        </w:rPr>
      </w:pPr>
      <w:r w:rsidRPr="003C21DA">
        <w:rPr>
          <w:color w:val="434343"/>
        </w:rPr>
        <w:t xml:space="preserve">It is important that learners and/or members of the public who wish to complain about a level of service provided by </w:t>
      </w:r>
      <w:r w:rsidR="009236F3">
        <w:rPr>
          <w:color w:val="434343"/>
        </w:rPr>
        <w:t>the Company</w:t>
      </w:r>
      <w:r w:rsidRPr="003C21DA">
        <w:rPr>
          <w:color w:val="434343"/>
        </w:rPr>
        <w:t xml:space="preserve"> in the first instance </w:t>
      </w:r>
      <w:r w:rsidR="009236F3">
        <w:rPr>
          <w:color w:val="434343"/>
        </w:rPr>
        <w:t xml:space="preserve">should </w:t>
      </w:r>
      <w:r w:rsidRPr="003C21DA">
        <w:rPr>
          <w:color w:val="434343"/>
        </w:rPr>
        <w:t xml:space="preserve">follow </w:t>
      </w:r>
      <w:r w:rsidR="009236F3">
        <w:rPr>
          <w:color w:val="434343"/>
        </w:rPr>
        <w:t xml:space="preserve">this </w:t>
      </w:r>
      <w:r w:rsidRPr="003C21DA">
        <w:rPr>
          <w:color w:val="434343"/>
        </w:rPr>
        <w:t>process before bringing any complaints to the attention of the awarding body or regulator.</w:t>
      </w:r>
    </w:p>
    <w:p w14:paraId="09BAA03A" w14:textId="77777777" w:rsidR="003C21DA" w:rsidRDefault="003C21DA" w:rsidP="003C21DA">
      <w:pPr>
        <w:jc w:val="both"/>
        <w:rPr>
          <w:color w:val="434343"/>
        </w:rPr>
      </w:pPr>
    </w:p>
    <w:p w14:paraId="60571372" w14:textId="301F560D" w:rsidR="009B33A8" w:rsidRDefault="009B33A8" w:rsidP="003C21DA">
      <w:pPr>
        <w:jc w:val="both"/>
        <w:rPr>
          <w:color w:val="434343"/>
        </w:rPr>
      </w:pPr>
      <w:r w:rsidRPr="009B33A8">
        <w:rPr>
          <w:color w:val="434343"/>
        </w:rPr>
        <w:t xml:space="preserve">We expect that complaints will be made as soon as possible after an incident arises, and no later than </w:t>
      </w:r>
      <w:r w:rsidR="003A7E6E">
        <w:rPr>
          <w:color w:val="434343"/>
        </w:rPr>
        <w:t>5</w:t>
      </w:r>
      <w:r w:rsidRPr="009B33A8">
        <w:rPr>
          <w:color w:val="434343"/>
        </w:rPr>
        <w:t xml:space="preserve"> working days afterwards. We will consider exceptions to this time frame in circumstances where there were valid reasons for not making a complaint at that time, and the complaint can still be investigated in a fair manner for all involved.</w:t>
      </w:r>
    </w:p>
    <w:p w14:paraId="02BDF74E" w14:textId="77777777" w:rsidR="009B33A8" w:rsidRPr="003C21DA" w:rsidRDefault="009B33A8" w:rsidP="003C21DA">
      <w:pPr>
        <w:jc w:val="both"/>
        <w:rPr>
          <w:color w:val="434343"/>
        </w:rPr>
      </w:pPr>
    </w:p>
    <w:p w14:paraId="57A182F9" w14:textId="04A38C9D" w:rsidR="003C21DA" w:rsidRPr="003C21DA" w:rsidRDefault="003C21DA" w:rsidP="009236F3">
      <w:pPr>
        <w:spacing w:after="240"/>
        <w:jc w:val="both"/>
        <w:rPr>
          <w:color w:val="434343"/>
        </w:rPr>
      </w:pPr>
      <w:r w:rsidRPr="003C21DA">
        <w:rPr>
          <w:color w:val="434343"/>
        </w:rPr>
        <w:t xml:space="preserve">Complaints should be sent in writing to </w:t>
      </w:r>
      <w:hyperlink r:id="rId10" w:history="1">
        <w:r w:rsidR="009236F3" w:rsidRPr="00F32DFA">
          <w:rPr>
            <w:rStyle w:val="Hyperlink"/>
          </w:rPr>
          <w:t>training@arkergroup.com</w:t>
        </w:r>
      </w:hyperlink>
      <w:r w:rsidR="009236F3">
        <w:rPr>
          <w:color w:val="434343"/>
        </w:rPr>
        <w:t xml:space="preserve"> </w:t>
      </w:r>
      <w:r w:rsidRPr="003C21DA">
        <w:rPr>
          <w:color w:val="434343"/>
        </w:rPr>
        <w:t xml:space="preserve">and </w:t>
      </w:r>
      <w:r w:rsidR="009236F3">
        <w:rPr>
          <w:color w:val="434343"/>
        </w:rPr>
        <w:t>include</w:t>
      </w:r>
      <w:r w:rsidRPr="003C21DA">
        <w:rPr>
          <w:color w:val="434343"/>
        </w:rPr>
        <w:t>:</w:t>
      </w:r>
    </w:p>
    <w:p w14:paraId="6A2A633F" w14:textId="03F8D6B8" w:rsidR="003C21DA" w:rsidRPr="009236F3" w:rsidRDefault="003C21DA" w:rsidP="009236F3">
      <w:pPr>
        <w:pStyle w:val="ListParagraph"/>
        <w:numPr>
          <w:ilvl w:val="0"/>
          <w:numId w:val="22"/>
        </w:numPr>
        <w:jc w:val="both"/>
        <w:rPr>
          <w:color w:val="434343"/>
        </w:rPr>
      </w:pPr>
      <w:r w:rsidRPr="009236F3">
        <w:rPr>
          <w:color w:val="434343"/>
        </w:rPr>
        <w:t>A full description of the complaint (including dates, times, context where appropriate)</w:t>
      </w:r>
      <w:r w:rsidR="009236F3" w:rsidRPr="009236F3">
        <w:rPr>
          <w:color w:val="434343"/>
        </w:rPr>
        <w:t>.</w:t>
      </w:r>
    </w:p>
    <w:p w14:paraId="772E4B17" w14:textId="17A3DA42" w:rsidR="003C21DA" w:rsidRPr="009236F3" w:rsidRDefault="003C21DA" w:rsidP="009236F3">
      <w:pPr>
        <w:pStyle w:val="ListParagraph"/>
        <w:numPr>
          <w:ilvl w:val="0"/>
          <w:numId w:val="22"/>
        </w:numPr>
        <w:jc w:val="both"/>
        <w:rPr>
          <w:color w:val="434343"/>
        </w:rPr>
      </w:pPr>
      <w:r w:rsidRPr="009236F3">
        <w:rPr>
          <w:color w:val="434343"/>
        </w:rPr>
        <w:t>Names of others involved</w:t>
      </w:r>
      <w:r w:rsidR="009236F3" w:rsidRPr="009236F3">
        <w:rPr>
          <w:color w:val="434343"/>
        </w:rPr>
        <w:t>.</w:t>
      </w:r>
    </w:p>
    <w:p w14:paraId="46039E14" w14:textId="7C5201EB" w:rsidR="003C21DA" w:rsidRPr="009236F3" w:rsidRDefault="003C21DA" w:rsidP="009236F3">
      <w:pPr>
        <w:pStyle w:val="ListParagraph"/>
        <w:numPr>
          <w:ilvl w:val="0"/>
          <w:numId w:val="22"/>
        </w:numPr>
        <w:jc w:val="both"/>
        <w:rPr>
          <w:color w:val="434343"/>
        </w:rPr>
      </w:pPr>
      <w:r w:rsidRPr="009236F3">
        <w:rPr>
          <w:color w:val="434343"/>
        </w:rPr>
        <w:t>Copies of any evidence e.g., letters, completed forms, witness testimony</w:t>
      </w:r>
      <w:r w:rsidR="009236F3" w:rsidRPr="009236F3">
        <w:rPr>
          <w:color w:val="434343"/>
        </w:rPr>
        <w:t>.</w:t>
      </w:r>
    </w:p>
    <w:p w14:paraId="13D42E53" w14:textId="71209399" w:rsidR="003C21DA" w:rsidRPr="009236F3" w:rsidRDefault="003C21DA" w:rsidP="009236F3">
      <w:pPr>
        <w:pStyle w:val="ListParagraph"/>
        <w:numPr>
          <w:ilvl w:val="0"/>
          <w:numId w:val="22"/>
        </w:numPr>
        <w:jc w:val="both"/>
        <w:rPr>
          <w:color w:val="434343"/>
        </w:rPr>
      </w:pPr>
      <w:r w:rsidRPr="009236F3">
        <w:rPr>
          <w:color w:val="434343"/>
        </w:rPr>
        <w:t>Contact details (in accordance with Data Protection legislation e.g., name and contact email/phone number)</w:t>
      </w:r>
      <w:r w:rsidR="009236F3" w:rsidRPr="009236F3">
        <w:rPr>
          <w:color w:val="434343"/>
        </w:rPr>
        <w:t>.</w:t>
      </w:r>
    </w:p>
    <w:p w14:paraId="4E01DD73" w14:textId="77777777" w:rsidR="003C21DA" w:rsidRPr="003C21DA" w:rsidRDefault="003C21DA" w:rsidP="003C21DA">
      <w:pPr>
        <w:jc w:val="both"/>
        <w:rPr>
          <w:color w:val="434343"/>
        </w:rPr>
      </w:pPr>
    </w:p>
    <w:p w14:paraId="5D953AFF" w14:textId="282452F3" w:rsidR="00D62532" w:rsidRDefault="003C21DA" w:rsidP="003C21DA">
      <w:pPr>
        <w:jc w:val="both"/>
        <w:rPr>
          <w:color w:val="434343"/>
        </w:rPr>
      </w:pPr>
      <w:r w:rsidRPr="003C21DA">
        <w:rPr>
          <w:color w:val="434343"/>
        </w:rPr>
        <w:t xml:space="preserve">Where </w:t>
      </w:r>
      <w:r w:rsidR="009236F3">
        <w:rPr>
          <w:color w:val="434343"/>
        </w:rPr>
        <w:t xml:space="preserve">the Company is </w:t>
      </w:r>
      <w:r w:rsidRPr="003C21DA">
        <w:rPr>
          <w:color w:val="434343"/>
        </w:rPr>
        <w:t xml:space="preserve">notified about failures that have been discovered in the assessment process or other activities of another organisation, these will be reviewed in the same manner as other external complaints, in accordance with the procedures below, to ascertain if the same issue could affect regulated qualifications. </w:t>
      </w:r>
    </w:p>
    <w:p w14:paraId="309F05B5" w14:textId="77777777" w:rsidR="000A7844" w:rsidRPr="003C21DA" w:rsidRDefault="000A7844" w:rsidP="003C21DA">
      <w:pPr>
        <w:jc w:val="both"/>
        <w:rPr>
          <w:color w:val="434343"/>
        </w:rPr>
      </w:pPr>
    </w:p>
    <w:p w14:paraId="6FA6A59C" w14:textId="67CED567" w:rsidR="00674ECF" w:rsidRPr="00FF5C15" w:rsidRDefault="00674ECF" w:rsidP="00674ECF">
      <w:pPr>
        <w:pStyle w:val="ListParagraph"/>
        <w:numPr>
          <w:ilvl w:val="1"/>
          <w:numId w:val="5"/>
        </w:numPr>
        <w:spacing w:after="240"/>
        <w:ind w:left="0"/>
        <w:jc w:val="both"/>
        <w:rPr>
          <w:b/>
          <w:bCs/>
          <w:color w:val="434343"/>
          <w:u w:val="single"/>
        </w:rPr>
      </w:pPr>
      <w:r>
        <w:rPr>
          <w:b/>
          <w:bCs/>
          <w:color w:val="434343"/>
          <w:u w:val="single"/>
        </w:rPr>
        <w:lastRenderedPageBreak/>
        <w:t>Confidentiality and Whistle Blowing</w:t>
      </w:r>
    </w:p>
    <w:p w14:paraId="1AE1CABD" w14:textId="6E4327E9" w:rsidR="003C21DA" w:rsidRPr="003C21DA" w:rsidRDefault="003C21DA" w:rsidP="003C21DA">
      <w:pPr>
        <w:jc w:val="both"/>
        <w:rPr>
          <w:color w:val="434343"/>
        </w:rPr>
      </w:pPr>
      <w:r w:rsidRPr="003C21DA">
        <w:rPr>
          <w:color w:val="434343"/>
        </w:rPr>
        <w:t xml:space="preserve">To enable a full investigation to take place it will be necessary for complainants to provide their names.  However, in some instances a complainant will wish to remain anonymous e.g., where there are concerns over possible adverse consequences should identity be revealed to another party.  </w:t>
      </w:r>
    </w:p>
    <w:p w14:paraId="632B79E4" w14:textId="77777777" w:rsidR="003C21DA" w:rsidRPr="003C21DA" w:rsidRDefault="003C21DA" w:rsidP="003C21DA">
      <w:pPr>
        <w:jc w:val="both"/>
        <w:rPr>
          <w:color w:val="434343"/>
        </w:rPr>
      </w:pPr>
    </w:p>
    <w:p w14:paraId="37182F71" w14:textId="3B74A9C1" w:rsidR="003C21DA" w:rsidRPr="003C21DA" w:rsidRDefault="00674ECF" w:rsidP="003547A0">
      <w:pPr>
        <w:spacing w:after="240"/>
        <w:jc w:val="both"/>
        <w:rPr>
          <w:color w:val="434343"/>
        </w:rPr>
      </w:pPr>
      <w:r>
        <w:rPr>
          <w:color w:val="434343"/>
        </w:rPr>
        <w:t>The Company will</w:t>
      </w:r>
      <w:r w:rsidR="003C21DA" w:rsidRPr="003C21DA">
        <w:rPr>
          <w:color w:val="434343"/>
        </w:rPr>
        <w:t xml:space="preserve"> always aim to keep a whistle blower’s identity confidential </w:t>
      </w:r>
      <w:r w:rsidR="003547A0">
        <w:rPr>
          <w:color w:val="434343"/>
        </w:rPr>
        <w:t>if</w:t>
      </w:r>
      <w:r w:rsidR="003C21DA" w:rsidRPr="003C21DA">
        <w:rPr>
          <w:color w:val="434343"/>
        </w:rPr>
        <w:t xml:space="preserve"> asked to do so</w:t>
      </w:r>
      <w:r w:rsidR="003547A0">
        <w:rPr>
          <w:color w:val="434343"/>
        </w:rPr>
        <w:t>,</w:t>
      </w:r>
      <w:r w:rsidR="003C21DA" w:rsidRPr="003C21DA">
        <w:rPr>
          <w:color w:val="434343"/>
        </w:rPr>
        <w:t xml:space="preserve"> </w:t>
      </w:r>
      <w:r w:rsidR="003547A0">
        <w:rPr>
          <w:color w:val="434343"/>
        </w:rPr>
        <w:t>however,</w:t>
      </w:r>
      <w:r w:rsidR="003C21DA" w:rsidRPr="003C21DA">
        <w:rPr>
          <w:color w:val="434343"/>
        </w:rPr>
        <w:t xml:space="preserve"> cannot guarantee this</w:t>
      </w:r>
      <w:r w:rsidR="003547A0">
        <w:rPr>
          <w:color w:val="434343"/>
        </w:rPr>
        <w:t xml:space="preserve"> in all cases</w:t>
      </w:r>
      <w:r w:rsidR="003C21DA" w:rsidRPr="003C21DA">
        <w:rPr>
          <w:color w:val="434343"/>
        </w:rPr>
        <w:t xml:space="preserve">. There may be situations </w:t>
      </w:r>
      <w:r w:rsidR="003547A0">
        <w:rPr>
          <w:color w:val="434343"/>
        </w:rPr>
        <w:t>where the Company has</w:t>
      </w:r>
      <w:r w:rsidR="003C21DA" w:rsidRPr="003C21DA">
        <w:rPr>
          <w:color w:val="434343"/>
        </w:rPr>
        <w:t xml:space="preserve"> a duty to disclose identity for example to:   </w:t>
      </w:r>
    </w:p>
    <w:p w14:paraId="35E0DC57" w14:textId="6A51C141" w:rsidR="003C21DA" w:rsidRPr="003547A0" w:rsidRDefault="003C21DA" w:rsidP="003547A0">
      <w:pPr>
        <w:pStyle w:val="ListParagraph"/>
        <w:numPr>
          <w:ilvl w:val="0"/>
          <w:numId w:val="23"/>
        </w:numPr>
        <w:jc w:val="both"/>
        <w:rPr>
          <w:color w:val="434343"/>
        </w:rPr>
      </w:pPr>
      <w:r w:rsidRPr="003547A0">
        <w:rPr>
          <w:color w:val="434343"/>
        </w:rPr>
        <w:t>The police, fraud prevention agencies or other law enforcement agencies (to investigate or prevent crime, including fraud)</w:t>
      </w:r>
      <w:r w:rsidR="003547A0">
        <w:rPr>
          <w:color w:val="434343"/>
        </w:rPr>
        <w:t>.</w:t>
      </w:r>
    </w:p>
    <w:p w14:paraId="0E71CABA" w14:textId="2777F21C" w:rsidR="003C21DA" w:rsidRPr="003547A0" w:rsidRDefault="003C21DA" w:rsidP="003547A0">
      <w:pPr>
        <w:pStyle w:val="ListParagraph"/>
        <w:numPr>
          <w:ilvl w:val="0"/>
          <w:numId w:val="23"/>
        </w:numPr>
        <w:jc w:val="both"/>
        <w:rPr>
          <w:color w:val="434343"/>
        </w:rPr>
      </w:pPr>
      <w:r w:rsidRPr="003547A0">
        <w:rPr>
          <w:color w:val="434343"/>
        </w:rPr>
        <w:t>The courts (court proceedings)</w:t>
      </w:r>
      <w:r w:rsidR="003547A0">
        <w:rPr>
          <w:color w:val="434343"/>
        </w:rPr>
        <w:t>.</w:t>
      </w:r>
    </w:p>
    <w:p w14:paraId="3E7B023C" w14:textId="3F8FD305" w:rsidR="003C21DA" w:rsidRPr="003547A0" w:rsidRDefault="003C21DA" w:rsidP="003547A0">
      <w:pPr>
        <w:pStyle w:val="ListParagraph"/>
        <w:numPr>
          <w:ilvl w:val="0"/>
          <w:numId w:val="23"/>
        </w:numPr>
        <w:jc w:val="both"/>
        <w:rPr>
          <w:color w:val="434343"/>
        </w:rPr>
      </w:pPr>
      <w:r w:rsidRPr="003547A0">
        <w:rPr>
          <w:color w:val="434343"/>
        </w:rPr>
        <w:t>Relevant authorities where there are safeguarding concerns</w:t>
      </w:r>
      <w:r w:rsidR="003547A0">
        <w:rPr>
          <w:color w:val="434343"/>
        </w:rPr>
        <w:t>.</w:t>
      </w:r>
    </w:p>
    <w:p w14:paraId="10118846" w14:textId="0B9F3F29" w:rsidR="003C21DA" w:rsidRPr="003547A0" w:rsidRDefault="003C21DA" w:rsidP="003547A0">
      <w:pPr>
        <w:pStyle w:val="ListParagraph"/>
        <w:numPr>
          <w:ilvl w:val="0"/>
          <w:numId w:val="23"/>
        </w:numPr>
        <w:jc w:val="both"/>
        <w:rPr>
          <w:color w:val="434343"/>
        </w:rPr>
      </w:pPr>
      <w:r w:rsidRPr="003547A0">
        <w:rPr>
          <w:color w:val="434343"/>
        </w:rPr>
        <w:t>Awarding bodies as part of any investigations into issues around qualification delivery</w:t>
      </w:r>
      <w:r w:rsidR="003547A0">
        <w:rPr>
          <w:color w:val="434343"/>
        </w:rPr>
        <w:t>.</w:t>
      </w:r>
    </w:p>
    <w:p w14:paraId="0BA59C0E" w14:textId="7746C149" w:rsidR="003C21DA" w:rsidRDefault="003C21DA" w:rsidP="003547A0">
      <w:pPr>
        <w:pStyle w:val="ListParagraph"/>
        <w:numPr>
          <w:ilvl w:val="0"/>
          <w:numId w:val="23"/>
        </w:numPr>
        <w:jc w:val="both"/>
        <w:rPr>
          <w:color w:val="434343"/>
        </w:rPr>
      </w:pPr>
      <w:r w:rsidRPr="003547A0">
        <w:rPr>
          <w:color w:val="434343"/>
        </w:rPr>
        <w:t>Other third parties e.g., Regulators</w:t>
      </w:r>
      <w:r w:rsidR="003547A0">
        <w:rPr>
          <w:color w:val="434343"/>
        </w:rPr>
        <w:t>.</w:t>
      </w:r>
    </w:p>
    <w:p w14:paraId="5BA7F85F" w14:textId="77777777" w:rsidR="00CD73C1" w:rsidRDefault="00CD73C1" w:rsidP="00CD73C1">
      <w:pPr>
        <w:jc w:val="both"/>
        <w:rPr>
          <w:color w:val="434343"/>
        </w:rPr>
      </w:pPr>
    </w:p>
    <w:p w14:paraId="6AC1757B" w14:textId="2887AF12" w:rsidR="00CD73C1" w:rsidRPr="007379C5" w:rsidRDefault="007379C5" w:rsidP="00CD73C1">
      <w:pPr>
        <w:pStyle w:val="ListParagraph"/>
        <w:numPr>
          <w:ilvl w:val="1"/>
          <w:numId w:val="5"/>
        </w:numPr>
        <w:spacing w:after="240"/>
        <w:ind w:left="0"/>
        <w:jc w:val="both"/>
        <w:rPr>
          <w:color w:val="434343"/>
        </w:rPr>
      </w:pPr>
      <w:r>
        <w:rPr>
          <w:b/>
          <w:bCs/>
          <w:color w:val="434343"/>
          <w:u w:val="single"/>
        </w:rPr>
        <w:t>What will happen to my complaint?</w:t>
      </w:r>
    </w:p>
    <w:p w14:paraId="2A71B18D" w14:textId="3D1A6215" w:rsidR="003C21DA" w:rsidRPr="003C21DA" w:rsidRDefault="00022668" w:rsidP="003C21DA">
      <w:pPr>
        <w:jc w:val="both"/>
        <w:rPr>
          <w:color w:val="434343"/>
        </w:rPr>
      </w:pPr>
      <w:r>
        <w:rPr>
          <w:color w:val="434343"/>
        </w:rPr>
        <w:t>The Company</w:t>
      </w:r>
      <w:r w:rsidR="003C21DA" w:rsidRPr="003C21DA">
        <w:rPr>
          <w:color w:val="434343"/>
        </w:rPr>
        <w:t xml:space="preserve"> will acknowledge receipt of your complaint within two working days and aim to investigate complaints within 7 working days thereafter. For more complex cases, or those involving people who are not available at the time, </w:t>
      </w:r>
      <w:r>
        <w:rPr>
          <w:color w:val="434343"/>
        </w:rPr>
        <w:t>this</w:t>
      </w:r>
      <w:r w:rsidR="003C21DA" w:rsidRPr="003C21DA">
        <w:rPr>
          <w:color w:val="434343"/>
        </w:rPr>
        <w:t xml:space="preserve"> may </w:t>
      </w:r>
      <w:r>
        <w:rPr>
          <w:color w:val="434343"/>
        </w:rPr>
        <w:t xml:space="preserve">be </w:t>
      </w:r>
      <w:r w:rsidR="003C21DA" w:rsidRPr="003C21DA">
        <w:rPr>
          <w:color w:val="434343"/>
        </w:rPr>
        <w:t>extend</w:t>
      </w:r>
      <w:r>
        <w:rPr>
          <w:color w:val="434343"/>
        </w:rPr>
        <w:t>ed</w:t>
      </w:r>
      <w:r w:rsidR="003C21DA" w:rsidRPr="003C21DA">
        <w:rPr>
          <w:color w:val="434343"/>
        </w:rPr>
        <w:t xml:space="preserve"> to carry out </w:t>
      </w:r>
      <w:r>
        <w:rPr>
          <w:color w:val="434343"/>
        </w:rPr>
        <w:t xml:space="preserve">a </w:t>
      </w:r>
      <w:r w:rsidR="003C21DA" w:rsidRPr="003C21DA">
        <w:rPr>
          <w:color w:val="434343"/>
        </w:rPr>
        <w:t xml:space="preserve">thorough investigation. </w:t>
      </w:r>
      <w:r>
        <w:rPr>
          <w:color w:val="434343"/>
        </w:rPr>
        <w:t>You</w:t>
      </w:r>
      <w:r w:rsidR="003C21DA" w:rsidRPr="003C21DA">
        <w:rPr>
          <w:color w:val="434343"/>
        </w:rPr>
        <w:t xml:space="preserve"> may </w:t>
      </w:r>
      <w:r>
        <w:rPr>
          <w:color w:val="434343"/>
        </w:rPr>
        <w:t xml:space="preserve">be </w:t>
      </w:r>
      <w:r w:rsidR="003C21DA" w:rsidRPr="003C21DA">
        <w:rPr>
          <w:color w:val="434343"/>
        </w:rPr>
        <w:t>contact</w:t>
      </w:r>
      <w:r>
        <w:rPr>
          <w:color w:val="434343"/>
        </w:rPr>
        <w:t>ed</w:t>
      </w:r>
      <w:r w:rsidR="003C21DA" w:rsidRPr="003C21DA">
        <w:rPr>
          <w:color w:val="434343"/>
        </w:rPr>
        <w:t xml:space="preserve"> within this period to seek further information or clarification (in some instances </w:t>
      </w:r>
      <w:r>
        <w:rPr>
          <w:color w:val="434343"/>
        </w:rPr>
        <w:t>it</w:t>
      </w:r>
      <w:r w:rsidR="003C21DA" w:rsidRPr="003C21DA">
        <w:rPr>
          <w:color w:val="434343"/>
        </w:rPr>
        <w:t xml:space="preserve"> may </w:t>
      </w:r>
      <w:r>
        <w:rPr>
          <w:color w:val="434343"/>
        </w:rPr>
        <w:t xml:space="preserve">be </w:t>
      </w:r>
      <w:r w:rsidR="003C21DA" w:rsidRPr="003C21DA">
        <w:rPr>
          <w:color w:val="434343"/>
        </w:rPr>
        <w:t>recommend</w:t>
      </w:r>
      <w:r>
        <w:rPr>
          <w:color w:val="434343"/>
        </w:rPr>
        <w:t>ed</w:t>
      </w:r>
      <w:r w:rsidR="003C21DA" w:rsidRPr="003C21DA">
        <w:rPr>
          <w:color w:val="434343"/>
        </w:rPr>
        <w:t xml:space="preserve"> a meeting</w:t>
      </w:r>
      <w:r>
        <w:rPr>
          <w:color w:val="434343"/>
        </w:rPr>
        <w:t xml:space="preserve"> is held to discuss the matter</w:t>
      </w:r>
      <w:r w:rsidR="003C21DA" w:rsidRPr="003C21DA">
        <w:rPr>
          <w:color w:val="434343"/>
        </w:rPr>
        <w:t xml:space="preserve">). </w:t>
      </w:r>
    </w:p>
    <w:p w14:paraId="23F39009" w14:textId="77777777" w:rsidR="00022668" w:rsidRDefault="00022668" w:rsidP="003C21DA">
      <w:pPr>
        <w:jc w:val="both"/>
        <w:rPr>
          <w:color w:val="434343"/>
        </w:rPr>
      </w:pPr>
    </w:p>
    <w:p w14:paraId="4EBDB77B" w14:textId="7236A9BC" w:rsidR="003C21DA" w:rsidRDefault="003C21DA" w:rsidP="003C21DA">
      <w:pPr>
        <w:jc w:val="both"/>
        <w:rPr>
          <w:color w:val="434343"/>
        </w:rPr>
      </w:pPr>
      <w:r w:rsidRPr="003C21DA">
        <w:rPr>
          <w:color w:val="434343"/>
        </w:rPr>
        <w:t xml:space="preserve">At the end of the investigation, </w:t>
      </w:r>
      <w:r w:rsidR="00022668">
        <w:rPr>
          <w:color w:val="434343"/>
        </w:rPr>
        <w:t>a written response will be provided</w:t>
      </w:r>
      <w:r w:rsidRPr="003C21DA">
        <w:rPr>
          <w:color w:val="434343"/>
        </w:rPr>
        <w:t xml:space="preserve"> to inform </w:t>
      </w:r>
      <w:r w:rsidR="00022668">
        <w:rPr>
          <w:color w:val="434343"/>
        </w:rPr>
        <w:t>the complainant</w:t>
      </w:r>
      <w:r w:rsidRPr="003C21DA">
        <w:rPr>
          <w:color w:val="434343"/>
        </w:rPr>
        <w:t xml:space="preserve"> of </w:t>
      </w:r>
      <w:r w:rsidR="00022668">
        <w:rPr>
          <w:color w:val="434343"/>
        </w:rPr>
        <w:t>the Company’s’</w:t>
      </w:r>
      <w:r w:rsidRPr="003C21DA">
        <w:rPr>
          <w:color w:val="434343"/>
        </w:rPr>
        <w:t xml:space="preserve"> decision. </w:t>
      </w:r>
    </w:p>
    <w:p w14:paraId="60CB5CC3" w14:textId="77777777" w:rsidR="00867BCB" w:rsidRDefault="00867BCB" w:rsidP="003C21DA">
      <w:pPr>
        <w:jc w:val="both"/>
        <w:rPr>
          <w:color w:val="434343"/>
        </w:rPr>
      </w:pPr>
    </w:p>
    <w:p w14:paraId="00C0B338" w14:textId="60168E5B" w:rsidR="00867BCB" w:rsidRPr="00867BCB" w:rsidRDefault="00867BCB" w:rsidP="003C21DA">
      <w:pPr>
        <w:pStyle w:val="ListParagraph"/>
        <w:numPr>
          <w:ilvl w:val="1"/>
          <w:numId w:val="5"/>
        </w:numPr>
        <w:spacing w:after="240"/>
        <w:ind w:left="0"/>
        <w:jc w:val="both"/>
        <w:rPr>
          <w:color w:val="434343"/>
        </w:rPr>
      </w:pPr>
      <w:r>
        <w:rPr>
          <w:b/>
          <w:bCs/>
          <w:color w:val="434343"/>
          <w:u w:val="single"/>
        </w:rPr>
        <w:t>Successful Complaints and/or Issues</w:t>
      </w:r>
    </w:p>
    <w:p w14:paraId="2A044154" w14:textId="5420C6A7" w:rsidR="003C21DA" w:rsidRPr="003C21DA" w:rsidRDefault="003C21DA" w:rsidP="003C21DA">
      <w:pPr>
        <w:jc w:val="both"/>
        <w:rPr>
          <w:color w:val="434343"/>
        </w:rPr>
      </w:pPr>
      <w:r w:rsidRPr="003C21DA">
        <w:rPr>
          <w:color w:val="434343"/>
        </w:rPr>
        <w:t xml:space="preserve">If any part of </w:t>
      </w:r>
      <w:r w:rsidR="000433B0">
        <w:rPr>
          <w:color w:val="434343"/>
        </w:rPr>
        <w:t>a</w:t>
      </w:r>
      <w:r w:rsidRPr="003C21DA">
        <w:rPr>
          <w:color w:val="434343"/>
        </w:rPr>
        <w:t xml:space="preserve"> complaint is upheld, </w:t>
      </w:r>
      <w:r w:rsidR="000433B0">
        <w:rPr>
          <w:color w:val="434343"/>
        </w:rPr>
        <w:t>the Company</w:t>
      </w:r>
      <w:r w:rsidRPr="003C21DA">
        <w:rPr>
          <w:color w:val="434343"/>
        </w:rPr>
        <w:t xml:space="preserve"> will respond to you accordingly and where appropriate give due consideration to how </w:t>
      </w:r>
      <w:r w:rsidR="000433B0">
        <w:rPr>
          <w:color w:val="434343"/>
        </w:rPr>
        <w:t xml:space="preserve">the </w:t>
      </w:r>
      <w:r w:rsidRPr="003C21DA">
        <w:rPr>
          <w:color w:val="434343"/>
        </w:rPr>
        <w:t>service and arrangements</w:t>
      </w:r>
      <w:r w:rsidR="000433B0">
        <w:rPr>
          <w:color w:val="434343"/>
        </w:rPr>
        <w:t xml:space="preserve"> can be improved</w:t>
      </w:r>
      <w:r w:rsidRPr="003C21DA">
        <w:rPr>
          <w:color w:val="434343"/>
        </w:rPr>
        <w:t xml:space="preserve">.   In situations where a complaint has been successful, or where an investigation following notification from Awarding Bodies/Regulators indicates a failure in </w:t>
      </w:r>
      <w:r w:rsidR="000433B0">
        <w:rPr>
          <w:color w:val="434343"/>
        </w:rPr>
        <w:t>the Company</w:t>
      </w:r>
      <w:r w:rsidRPr="003C21DA">
        <w:rPr>
          <w:color w:val="434343"/>
        </w:rPr>
        <w:t xml:space="preserve"> processes, </w:t>
      </w:r>
      <w:r w:rsidR="000433B0">
        <w:rPr>
          <w:color w:val="434343"/>
        </w:rPr>
        <w:t>this will be</w:t>
      </w:r>
      <w:r w:rsidRPr="003C21DA">
        <w:rPr>
          <w:color w:val="434343"/>
        </w:rPr>
        <w:t xml:space="preserve"> give</w:t>
      </w:r>
      <w:r w:rsidR="000433B0">
        <w:rPr>
          <w:color w:val="434343"/>
        </w:rPr>
        <w:t>n</w:t>
      </w:r>
      <w:r w:rsidRPr="003C21DA">
        <w:rPr>
          <w:color w:val="434343"/>
        </w:rPr>
        <w:t xml:space="preserve"> due consideration to the outcome and appropriate actions </w:t>
      </w:r>
      <w:r w:rsidR="000433B0">
        <w:rPr>
          <w:color w:val="434343"/>
        </w:rPr>
        <w:t xml:space="preserve">will be taken </w:t>
      </w:r>
      <w:r w:rsidRPr="003C21DA">
        <w:rPr>
          <w:color w:val="434343"/>
        </w:rPr>
        <w:t xml:space="preserve">such as: </w:t>
      </w:r>
    </w:p>
    <w:p w14:paraId="004B0EEF" w14:textId="50EFF74E" w:rsidR="003C21DA" w:rsidRPr="000433B0" w:rsidRDefault="003C21DA" w:rsidP="000433B0">
      <w:pPr>
        <w:pStyle w:val="ListParagraph"/>
        <w:numPr>
          <w:ilvl w:val="0"/>
          <w:numId w:val="24"/>
        </w:numPr>
        <w:jc w:val="both"/>
        <w:rPr>
          <w:color w:val="434343"/>
        </w:rPr>
      </w:pPr>
      <w:r w:rsidRPr="000433B0">
        <w:rPr>
          <w:color w:val="434343"/>
        </w:rPr>
        <w:t>Identify</w:t>
      </w:r>
      <w:r w:rsidR="000433B0" w:rsidRPr="000433B0">
        <w:rPr>
          <w:color w:val="434343"/>
        </w:rPr>
        <w:t>ing</w:t>
      </w:r>
      <w:r w:rsidRPr="000433B0">
        <w:rPr>
          <w:color w:val="434343"/>
        </w:rPr>
        <w:t xml:space="preserve"> any other learner/s</w:t>
      </w:r>
      <w:r w:rsidR="000433B0">
        <w:rPr>
          <w:color w:val="434343"/>
        </w:rPr>
        <w:t xml:space="preserve">, trainers, assessors </w:t>
      </w:r>
      <w:r w:rsidRPr="000433B0">
        <w:rPr>
          <w:color w:val="434343"/>
        </w:rPr>
        <w:t xml:space="preserve">and/or </w:t>
      </w:r>
      <w:r w:rsidR="000433B0">
        <w:rPr>
          <w:color w:val="434343"/>
        </w:rPr>
        <w:t>other third parties</w:t>
      </w:r>
      <w:r w:rsidRPr="000433B0">
        <w:rPr>
          <w:color w:val="434343"/>
        </w:rPr>
        <w:t xml:space="preserve"> who has been or may be affected by that failure</w:t>
      </w:r>
      <w:r w:rsidR="000433B0">
        <w:rPr>
          <w:color w:val="434343"/>
        </w:rPr>
        <w:t>.</w:t>
      </w:r>
    </w:p>
    <w:p w14:paraId="5A888B03" w14:textId="558AF74F" w:rsidR="003C21DA" w:rsidRPr="000433B0" w:rsidRDefault="003C21DA" w:rsidP="000433B0">
      <w:pPr>
        <w:pStyle w:val="ListParagraph"/>
        <w:numPr>
          <w:ilvl w:val="0"/>
          <w:numId w:val="24"/>
        </w:numPr>
        <w:jc w:val="both"/>
        <w:rPr>
          <w:color w:val="434343"/>
        </w:rPr>
      </w:pPr>
      <w:r w:rsidRPr="000433B0">
        <w:rPr>
          <w:color w:val="434343"/>
        </w:rPr>
        <w:t>Correct, or where it cannot be corrected, mitigate as far as possible the effect of the failure</w:t>
      </w:r>
      <w:r w:rsidR="000433B0">
        <w:rPr>
          <w:color w:val="434343"/>
        </w:rPr>
        <w:t>.</w:t>
      </w:r>
    </w:p>
    <w:p w14:paraId="2718BBDC" w14:textId="2F8BE188" w:rsidR="00F73B5B" w:rsidRPr="00F73B5B" w:rsidRDefault="003C21DA" w:rsidP="00F73B5B">
      <w:pPr>
        <w:pStyle w:val="ListParagraph"/>
        <w:numPr>
          <w:ilvl w:val="0"/>
          <w:numId w:val="24"/>
        </w:numPr>
        <w:jc w:val="both"/>
        <w:rPr>
          <w:color w:val="434343"/>
        </w:rPr>
      </w:pPr>
      <w:r w:rsidRPr="000433B0">
        <w:rPr>
          <w:color w:val="434343"/>
        </w:rPr>
        <w:lastRenderedPageBreak/>
        <w:t>Review and amend our arrangements, where appropriate, to reduce the likelihood that the failure will reoccur in the future</w:t>
      </w:r>
      <w:r w:rsidR="00FA1C81">
        <w:rPr>
          <w:color w:val="434343"/>
        </w:rPr>
        <w:t>.</w:t>
      </w:r>
    </w:p>
    <w:p w14:paraId="1518C1A1" w14:textId="77777777" w:rsidR="00F73B5B" w:rsidRDefault="00F73B5B" w:rsidP="00F73B5B">
      <w:pPr>
        <w:jc w:val="both"/>
        <w:rPr>
          <w:color w:val="434343"/>
        </w:rPr>
      </w:pPr>
    </w:p>
    <w:p w14:paraId="448648C4" w14:textId="35C777CA" w:rsidR="00F73B5B" w:rsidRPr="009B2081" w:rsidRDefault="00883AB6" w:rsidP="009B2081">
      <w:pPr>
        <w:pStyle w:val="ListParagraph"/>
        <w:numPr>
          <w:ilvl w:val="1"/>
          <w:numId w:val="5"/>
        </w:numPr>
        <w:spacing w:after="240"/>
        <w:ind w:left="0"/>
        <w:jc w:val="both"/>
        <w:rPr>
          <w:color w:val="434343"/>
        </w:rPr>
      </w:pPr>
      <w:r>
        <w:rPr>
          <w:b/>
          <w:bCs/>
          <w:color w:val="434343"/>
          <w:u w:val="single"/>
        </w:rPr>
        <w:t>Escalating Your Initial Complaint if you Remain Dissatisfied</w:t>
      </w:r>
      <w:r w:rsidR="00D62532">
        <w:rPr>
          <w:b/>
          <w:bCs/>
          <w:color w:val="434343"/>
          <w:u w:val="single"/>
        </w:rPr>
        <w:t xml:space="preserve"> – Highfield Qualifications</w:t>
      </w:r>
      <w:r>
        <w:rPr>
          <w:b/>
          <w:bCs/>
          <w:color w:val="434343"/>
          <w:u w:val="single"/>
        </w:rPr>
        <w:t>:</w:t>
      </w:r>
    </w:p>
    <w:p w14:paraId="03576F3B" w14:textId="3DD869FF" w:rsidR="00B84567" w:rsidRPr="00B84567" w:rsidRDefault="00B84567" w:rsidP="00B84567">
      <w:pPr>
        <w:spacing w:after="240"/>
        <w:jc w:val="both"/>
        <w:rPr>
          <w:color w:val="434343"/>
        </w:rPr>
      </w:pPr>
      <w:r w:rsidRPr="00B84567">
        <w:rPr>
          <w:color w:val="434343"/>
        </w:rPr>
        <w:t xml:space="preserve">In the unlikely event that you remain unhappy after your complaint has been investigated and a decision reached then you may escalate your complaint to our </w:t>
      </w:r>
      <w:r w:rsidR="00A42C2A">
        <w:rPr>
          <w:color w:val="434343"/>
        </w:rPr>
        <w:t>Partner</w:t>
      </w:r>
      <w:r w:rsidRPr="00B84567">
        <w:rPr>
          <w:color w:val="434343"/>
        </w:rPr>
        <w:t xml:space="preserve">.  Please include any further items for consideration and state clearly why you remain unhappy with the decision taken so far.  The </w:t>
      </w:r>
      <w:r w:rsidR="00A42C2A">
        <w:rPr>
          <w:color w:val="434343"/>
        </w:rPr>
        <w:t>Partner</w:t>
      </w:r>
      <w:r w:rsidRPr="00B84567">
        <w:rPr>
          <w:color w:val="434343"/>
        </w:rPr>
        <w:t xml:space="preserve"> will investigate in full and respond to you within </w:t>
      </w:r>
      <w:r w:rsidR="0097669D">
        <w:rPr>
          <w:color w:val="434343"/>
        </w:rPr>
        <w:t>7 working days of notification</w:t>
      </w:r>
      <w:r w:rsidRPr="00B84567">
        <w:rPr>
          <w:color w:val="434343"/>
        </w:rPr>
        <w:t>.</w:t>
      </w:r>
      <w:r w:rsidR="0097669D">
        <w:rPr>
          <w:color w:val="434343"/>
        </w:rPr>
        <w:t xml:space="preserve"> This may be extended or curtailed as required and determined by the nature and complexity of the complain</w:t>
      </w:r>
      <w:r w:rsidR="009D018B">
        <w:rPr>
          <w:color w:val="434343"/>
        </w:rPr>
        <w:t>t</w:t>
      </w:r>
      <w:r w:rsidR="0097669D">
        <w:rPr>
          <w:color w:val="434343"/>
        </w:rPr>
        <w:t xml:space="preserve"> and investigation. </w:t>
      </w:r>
    </w:p>
    <w:p w14:paraId="4C52D4FE" w14:textId="5AC9B8A4" w:rsidR="00B84567" w:rsidRPr="00B84567" w:rsidRDefault="00B84567" w:rsidP="00B84567">
      <w:pPr>
        <w:spacing w:after="240"/>
        <w:jc w:val="both"/>
        <w:rPr>
          <w:color w:val="434343"/>
        </w:rPr>
      </w:pPr>
      <w:r w:rsidRPr="00B84567">
        <w:rPr>
          <w:color w:val="434343"/>
        </w:rPr>
        <w:t xml:space="preserve">The </w:t>
      </w:r>
      <w:r w:rsidR="00A42C2A">
        <w:rPr>
          <w:color w:val="434343"/>
        </w:rPr>
        <w:t>Partner</w:t>
      </w:r>
      <w:r w:rsidRPr="00B84567">
        <w:rPr>
          <w:color w:val="434343"/>
        </w:rPr>
        <w:t xml:space="preserve"> can be contacted on:</w:t>
      </w:r>
    </w:p>
    <w:p w14:paraId="3419C7FE" w14:textId="77777777" w:rsidR="00A42C2A" w:rsidRDefault="00B84567" w:rsidP="00B84567">
      <w:pPr>
        <w:pStyle w:val="ListParagraph"/>
        <w:numPr>
          <w:ilvl w:val="0"/>
          <w:numId w:val="25"/>
        </w:numPr>
        <w:spacing w:after="240"/>
        <w:jc w:val="both"/>
        <w:rPr>
          <w:color w:val="434343"/>
        </w:rPr>
      </w:pPr>
      <w:r w:rsidRPr="00A42C2A">
        <w:rPr>
          <w:color w:val="434343"/>
        </w:rPr>
        <w:t>Call:</w:t>
      </w:r>
      <w:r w:rsidR="00A42C2A" w:rsidRPr="00A42C2A">
        <w:rPr>
          <w:color w:val="434343"/>
        </w:rPr>
        <w:t xml:space="preserve"> 07468 521 937</w:t>
      </w:r>
    </w:p>
    <w:p w14:paraId="4BD594D3" w14:textId="60A31E48" w:rsidR="00B84567" w:rsidRPr="00A42C2A" w:rsidRDefault="00B84567" w:rsidP="00B84567">
      <w:pPr>
        <w:pStyle w:val="ListParagraph"/>
        <w:numPr>
          <w:ilvl w:val="0"/>
          <w:numId w:val="25"/>
        </w:numPr>
        <w:spacing w:after="240"/>
        <w:jc w:val="both"/>
        <w:rPr>
          <w:color w:val="434343"/>
        </w:rPr>
      </w:pPr>
      <w:r w:rsidRPr="00A42C2A">
        <w:rPr>
          <w:color w:val="434343"/>
        </w:rPr>
        <w:t>E-mail:</w:t>
      </w:r>
      <w:r w:rsidR="00A42C2A" w:rsidRPr="00A42C2A">
        <w:rPr>
          <w:color w:val="434343"/>
        </w:rPr>
        <w:t xml:space="preserve"> </w:t>
      </w:r>
      <w:hyperlink r:id="rId11" w:history="1">
        <w:r w:rsidR="00077447" w:rsidRPr="009309FC">
          <w:rPr>
            <w:rStyle w:val="Hyperlink"/>
          </w:rPr>
          <w:t>Luke@arkergroup.com</w:t>
        </w:r>
      </w:hyperlink>
      <w:r w:rsidR="00077447">
        <w:rPr>
          <w:color w:val="434343"/>
        </w:rPr>
        <w:t xml:space="preserve"> </w:t>
      </w:r>
    </w:p>
    <w:p w14:paraId="46A16D3D" w14:textId="7A935092" w:rsidR="00BE7750" w:rsidRDefault="000A7844" w:rsidP="00B84567">
      <w:pPr>
        <w:spacing w:after="240"/>
        <w:jc w:val="both"/>
        <w:rPr>
          <w:color w:val="434343"/>
        </w:rPr>
      </w:pPr>
      <w:r w:rsidRPr="000A7844">
        <w:rPr>
          <w:color w:val="434343"/>
        </w:rPr>
        <w:t xml:space="preserve">This will be the final route of escalation within </w:t>
      </w:r>
      <w:r w:rsidR="000A7B47">
        <w:rPr>
          <w:color w:val="434343"/>
        </w:rPr>
        <w:t>the C</w:t>
      </w:r>
      <w:r w:rsidRPr="000A7844">
        <w:rPr>
          <w:color w:val="434343"/>
        </w:rPr>
        <w:t>ompany.  Therefore, if you remain unhappy after following our own internal complaints procedure and your complaint refers to services you have received relating to your course and achieving your qualification then please contact the Awarding Organisation directly.  The Awarding Organisation is Highfield Qualifications</w:t>
      </w:r>
      <w:r w:rsidR="00982D1A">
        <w:rPr>
          <w:color w:val="434343"/>
        </w:rPr>
        <w:t>,</w:t>
      </w:r>
      <w:r w:rsidRPr="000A7844">
        <w:rPr>
          <w:color w:val="434343"/>
        </w:rPr>
        <w:t xml:space="preserve"> and their complaints policy can be located on their website: </w:t>
      </w:r>
      <w:hyperlink r:id="rId12" w:history="1">
        <w:r w:rsidR="00982D1A" w:rsidRPr="00815087">
          <w:rPr>
            <w:rStyle w:val="Hyperlink"/>
          </w:rPr>
          <w:t>https://www.highfieldqualifications.com</w:t>
        </w:r>
      </w:hyperlink>
      <w:r w:rsidR="00982D1A">
        <w:rPr>
          <w:color w:val="434343"/>
        </w:rPr>
        <w:t>.</w:t>
      </w:r>
      <w:r w:rsidR="00BE7750">
        <w:rPr>
          <w:color w:val="434343"/>
        </w:rPr>
        <w:t xml:space="preserve"> </w:t>
      </w:r>
      <w:r w:rsidRPr="00C0671C">
        <w:rPr>
          <w:color w:val="434343"/>
        </w:rPr>
        <w:t>Alternatively, please speak to the Highfield Qualifications team on 01302 363277.</w:t>
      </w:r>
      <w:r w:rsidR="00C0671C">
        <w:rPr>
          <w:color w:val="434343"/>
        </w:rPr>
        <w:t xml:space="preserve"> </w:t>
      </w:r>
    </w:p>
    <w:p w14:paraId="55748A6F" w14:textId="31A94AA5" w:rsidR="00883AB6" w:rsidRPr="007837B2" w:rsidRDefault="000A7844" w:rsidP="007837B2">
      <w:pPr>
        <w:spacing w:after="240"/>
        <w:jc w:val="both"/>
        <w:rPr>
          <w:color w:val="434343"/>
        </w:rPr>
      </w:pPr>
      <w:r w:rsidRPr="00C0671C">
        <w:rPr>
          <w:color w:val="434343"/>
        </w:rPr>
        <w:t xml:space="preserve">Should you address your complaint to Highfield Qualifications and remain unhappy with the outcome you may then raise your complaint to the relevant qualification regulator.  Either a representative of </w:t>
      </w:r>
      <w:r w:rsidR="00C0671C">
        <w:rPr>
          <w:color w:val="434343"/>
        </w:rPr>
        <w:t xml:space="preserve">The Arker Group Ltd </w:t>
      </w:r>
      <w:r w:rsidRPr="00C0671C">
        <w:rPr>
          <w:color w:val="434343"/>
        </w:rPr>
        <w:t>or Highfield Qualifications will be able to offer you guidance on the appropriate qualification regulator in each instance and provide contact details.</w:t>
      </w:r>
    </w:p>
    <w:p w14:paraId="65C33B3F" w14:textId="4614A3B6" w:rsidR="00100C54" w:rsidRPr="009B2081" w:rsidRDefault="00100C54" w:rsidP="00100C54">
      <w:pPr>
        <w:pStyle w:val="ListParagraph"/>
        <w:numPr>
          <w:ilvl w:val="1"/>
          <w:numId w:val="5"/>
        </w:numPr>
        <w:spacing w:after="240"/>
        <w:ind w:left="0"/>
        <w:jc w:val="both"/>
        <w:rPr>
          <w:color w:val="434343"/>
        </w:rPr>
      </w:pPr>
      <w:r>
        <w:rPr>
          <w:b/>
          <w:bCs/>
          <w:color w:val="434343"/>
          <w:u w:val="single"/>
        </w:rPr>
        <w:t>Escalating Your Initial Complaint if you Remain Dissatisfied – RLSS UK Qualifications:</w:t>
      </w:r>
    </w:p>
    <w:p w14:paraId="0DC4CF89" w14:textId="77777777" w:rsidR="00100C54" w:rsidRPr="00B84567" w:rsidRDefault="00100C54" w:rsidP="00100C54">
      <w:pPr>
        <w:spacing w:after="240"/>
        <w:jc w:val="both"/>
        <w:rPr>
          <w:color w:val="434343"/>
        </w:rPr>
      </w:pPr>
      <w:r w:rsidRPr="00B84567">
        <w:rPr>
          <w:color w:val="434343"/>
        </w:rPr>
        <w:t xml:space="preserve">In the unlikely event that you remain unhappy after your complaint has been investigated and a decision reached then you may escalate your complaint to our </w:t>
      </w:r>
      <w:r>
        <w:rPr>
          <w:color w:val="434343"/>
        </w:rPr>
        <w:t>Partner</w:t>
      </w:r>
      <w:r w:rsidRPr="00B84567">
        <w:rPr>
          <w:color w:val="434343"/>
        </w:rPr>
        <w:t xml:space="preserve">.  Please include any further items for consideration and state clearly why you remain unhappy with the decision taken so far.  The </w:t>
      </w:r>
      <w:r>
        <w:rPr>
          <w:color w:val="434343"/>
        </w:rPr>
        <w:t>Partner</w:t>
      </w:r>
      <w:r w:rsidRPr="00B84567">
        <w:rPr>
          <w:color w:val="434343"/>
        </w:rPr>
        <w:t xml:space="preserve"> will investigate in full and respond to you within </w:t>
      </w:r>
      <w:r>
        <w:rPr>
          <w:color w:val="434343"/>
        </w:rPr>
        <w:t>7 working days of notification</w:t>
      </w:r>
      <w:r w:rsidRPr="00B84567">
        <w:rPr>
          <w:color w:val="434343"/>
        </w:rPr>
        <w:t>.</w:t>
      </w:r>
      <w:r>
        <w:rPr>
          <w:color w:val="434343"/>
        </w:rPr>
        <w:t xml:space="preserve"> This may be extended or curtailed as required and determined by the nature and complexity of the complaint and investigation. </w:t>
      </w:r>
    </w:p>
    <w:p w14:paraId="525A609C" w14:textId="77777777" w:rsidR="00100C54" w:rsidRPr="00B84567" w:rsidRDefault="00100C54" w:rsidP="00100C54">
      <w:pPr>
        <w:spacing w:after="240"/>
        <w:jc w:val="both"/>
        <w:rPr>
          <w:color w:val="434343"/>
        </w:rPr>
      </w:pPr>
      <w:r w:rsidRPr="00B84567">
        <w:rPr>
          <w:color w:val="434343"/>
        </w:rPr>
        <w:t xml:space="preserve">The </w:t>
      </w:r>
      <w:r>
        <w:rPr>
          <w:color w:val="434343"/>
        </w:rPr>
        <w:t>Partner</w:t>
      </w:r>
      <w:r w:rsidRPr="00B84567">
        <w:rPr>
          <w:color w:val="434343"/>
        </w:rPr>
        <w:t xml:space="preserve"> can be contacted on:</w:t>
      </w:r>
    </w:p>
    <w:p w14:paraId="70391018" w14:textId="77777777" w:rsidR="00100C54" w:rsidRDefault="00100C54" w:rsidP="00100C54">
      <w:pPr>
        <w:pStyle w:val="ListParagraph"/>
        <w:numPr>
          <w:ilvl w:val="0"/>
          <w:numId w:val="25"/>
        </w:numPr>
        <w:spacing w:after="240"/>
        <w:jc w:val="both"/>
        <w:rPr>
          <w:color w:val="434343"/>
        </w:rPr>
      </w:pPr>
      <w:r w:rsidRPr="00A42C2A">
        <w:rPr>
          <w:color w:val="434343"/>
        </w:rPr>
        <w:t>Call: 07468 521 937</w:t>
      </w:r>
    </w:p>
    <w:p w14:paraId="582B573D" w14:textId="77777777" w:rsidR="00100C54" w:rsidRPr="00A42C2A" w:rsidRDefault="00100C54" w:rsidP="00100C54">
      <w:pPr>
        <w:pStyle w:val="ListParagraph"/>
        <w:numPr>
          <w:ilvl w:val="0"/>
          <w:numId w:val="25"/>
        </w:numPr>
        <w:spacing w:after="240"/>
        <w:jc w:val="both"/>
        <w:rPr>
          <w:color w:val="434343"/>
        </w:rPr>
      </w:pPr>
      <w:r w:rsidRPr="00A42C2A">
        <w:rPr>
          <w:color w:val="434343"/>
        </w:rPr>
        <w:t xml:space="preserve">E-mail: </w:t>
      </w:r>
      <w:hyperlink r:id="rId13" w:history="1">
        <w:r w:rsidRPr="009309FC">
          <w:rPr>
            <w:rStyle w:val="Hyperlink"/>
          </w:rPr>
          <w:t>Luke@arkergroup.com</w:t>
        </w:r>
      </w:hyperlink>
      <w:r>
        <w:rPr>
          <w:color w:val="434343"/>
        </w:rPr>
        <w:t xml:space="preserve"> </w:t>
      </w:r>
    </w:p>
    <w:p w14:paraId="11BE9601" w14:textId="5C56C5D4" w:rsidR="00100C54" w:rsidRDefault="00100C54" w:rsidP="00100C54">
      <w:pPr>
        <w:spacing w:after="240"/>
        <w:jc w:val="both"/>
        <w:rPr>
          <w:color w:val="434343"/>
        </w:rPr>
      </w:pPr>
      <w:r w:rsidRPr="000A7844">
        <w:rPr>
          <w:color w:val="434343"/>
        </w:rPr>
        <w:lastRenderedPageBreak/>
        <w:t xml:space="preserve">This will be the final route of escalation within </w:t>
      </w:r>
      <w:r>
        <w:rPr>
          <w:color w:val="434343"/>
        </w:rPr>
        <w:t>the C</w:t>
      </w:r>
      <w:r w:rsidRPr="000A7844">
        <w:rPr>
          <w:color w:val="434343"/>
        </w:rPr>
        <w:t xml:space="preserve">ompany.  Therefore, if you remain unhappy after following our own internal complaints procedure and your complaint refers to services you have received relating to your course and achieving your qualification then please contact the Awarding Organisation directly.  </w:t>
      </w:r>
      <w:r w:rsidR="002C3FC0">
        <w:rPr>
          <w:color w:val="434343"/>
        </w:rPr>
        <w:t>If t</w:t>
      </w:r>
      <w:r w:rsidRPr="000A7844">
        <w:rPr>
          <w:color w:val="434343"/>
        </w:rPr>
        <w:t xml:space="preserve">he Awarding Organisation is </w:t>
      </w:r>
      <w:r w:rsidR="002C3FC0">
        <w:rPr>
          <w:color w:val="434343"/>
        </w:rPr>
        <w:t>RLSS UK</w:t>
      </w:r>
      <w:r w:rsidRPr="000A7844">
        <w:rPr>
          <w:color w:val="434343"/>
        </w:rPr>
        <w:t xml:space="preserve"> </w:t>
      </w:r>
      <w:r w:rsidRPr="000930A8">
        <w:rPr>
          <w:color w:val="434343"/>
        </w:rPr>
        <w:t xml:space="preserve">Qualifications, </w:t>
      </w:r>
      <w:r w:rsidR="000930A8" w:rsidRPr="000930A8">
        <w:rPr>
          <w:color w:val="434343"/>
        </w:rPr>
        <w:t>you can, where relevant, escalate the matter through to a member of the RLSS UK Qualifications Compliance Team</w:t>
      </w:r>
      <w:r w:rsidR="000930A8">
        <w:rPr>
          <w:color w:val="434343"/>
        </w:rPr>
        <w:t xml:space="preserve"> at the details below:</w:t>
      </w:r>
    </w:p>
    <w:tbl>
      <w:tblPr>
        <w:tblStyle w:val="TableGrid"/>
        <w:tblW w:w="0" w:type="auto"/>
        <w:tblLook w:val="04A0" w:firstRow="1" w:lastRow="0" w:firstColumn="1" w:lastColumn="0" w:noHBand="0" w:noVBand="1"/>
      </w:tblPr>
      <w:tblGrid>
        <w:gridCol w:w="2263"/>
        <w:gridCol w:w="6753"/>
      </w:tblGrid>
      <w:tr w:rsidR="00ED053D" w14:paraId="125BF19F" w14:textId="77777777" w:rsidTr="00BD13FF">
        <w:tc>
          <w:tcPr>
            <w:tcW w:w="9016" w:type="dxa"/>
            <w:gridSpan w:val="2"/>
            <w:shd w:val="clear" w:color="auto" w:fill="4472C4" w:themeFill="accent1"/>
          </w:tcPr>
          <w:p w14:paraId="6AB3E4C3" w14:textId="77777777" w:rsidR="00ED053D" w:rsidRDefault="00ED053D" w:rsidP="00BD13FF">
            <w:pPr>
              <w:jc w:val="center"/>
              <w:rPr>
                <w:b/>
                <w:bCs/>
              </w:rPr>
            </w:pPr>
            <w:r w:rsidRPr="2A1E1B4C">
              <w:rPr>
                <w:b/>
                <w:bCs/>
                <w:color w:val="FFFFFF" w:themeColor="background1"/>
              </w:rPr>
              <w:t xml:space="preserve">RLSS UK </w:t>
            </w:r>
            <w:r>
              <w:rPr>
                <w:b/>
                <w:bCs/>
                <w:color w:val="FFFFFF" w:themeColor="background1"/>
              </w:rPr>
              <w:t xml:space="preserve">Qualifications </w:t>
            </w:r>
            <w:r w:rsidRPr="2A1E1B4C">
              <w:rPr>
                <w:b/>
                <w:bCs/>
                <w:color w:val="FFFFFF" w:themeColor="background1"/>
              </w:rPr>
              <w:t xml:space="preserve">Contact </w:t>
            </w:r>
            <w:r>
              <w:rPr>
                <w:b/>
                <w:bCs/>
                <w:color w:val="FFFFFF" w:themeColor="background1"/>
              </w:rPr>
              <w:t>D</w:t>
            </w:r>
            <w:r w:rsidRPr="2A1E1B4C">
              <w:rPr>
                <w:b/>
                <w:bCs/>
                <w:color w:val="FFFFFF" w:themeColor="background1"/>
              </w:rPr>
              <w:t>etails</w:t>
            </w:r>
          </w:p>
        </w:tc>
      </w:tr>
      <w:tr w:rsidR="00ED053D" w:rsidRPr="00B50CBF" w14:paraId="29206AAE" w14:textId="77777777" w:rsidTr="00BD13FF">
        <w:tc>
          <w:tcPr>
            <w:tcW w:w="2263" w:type="dxa"/>
            <w:shd w:val="clear" w:color="auto" w:fill="4472C4" w:themeFill="accent1"/>
          </w:tcPr>
          <w:p w14:paraId="6C512000" w14:textId="77777777" w:rsidR="00ED053D" w:rsidRPr="00970FA4" w:rsidRDefault="00ED053D" w:rsidP="00BD13FF">
            <w:pPr>
              <w:rPr>
                <w:b/>
                <w:bCs/>
                <w:color w:val="FFFFFF" w:themeColor="background1"/>
                <w:sz w:val="28"/>
                <w:szCs w:val="28"/>
              </w:rPr>
            </w:pPr>
            <w:r w:rsidRPr="00970FA4">
              <w:rPr>
                <w:b/>
                <w:bCs/>
                <w:color w:val="FFFFFF" w:themeColor="background1"/>
                <w:sz w:val="28"/>
                <w:szCs w:val="28"/>
              </w:rPr>
              <w:t>Email</w:t>
            </w:r>
          </w:p>
        </w:tc>
        <w:tc>
          <w:tcPr>
            <w:tcW w:w="6753" w:type="dxa"/>
          </w:tcPr>
          <w:p w14:paraId="7F458586" w14:textId="77777777" w:rsidR="00ED053D" w:rsidRPr="00B50CBF" w:rsidRDefault="00ED053D" w:rsidP="00BD13FF">
            <w:r>
              <w:t>compliance@rlss.org.uk</w:t>
            </w:r>
          </w:p>
        </w:tc>
      </w:tr>
      <w:tr w:rsidR="00ED053D" w14:paraId="46083FE2" w14:textId="77777777" w:rsidTr="00BD13FF">
        <w:tc>
          <w:tcPr>
            <w:tcW w:w="2263" w:type="dxa"/>
            <w:shd w:val="clear" w:color="auto" w:fill="4472C4" w:themeFill="accent1"/>
          </w:tcPr>
          <w:p w14:paraId="5BA95892" w14:textId="77777777" w:rsidR="00ED053D" w:rsidRPr="00970FA4" w:rsidRDefault="00ED053D" w:rsidP="00BD13FF">
            <w:pPr>
              <w:rPr>
                <w:b/>
                <w:bCs/>
                <w:color w:val="FFFFFF" w:themeColor="background1"/>
                <w:sz w:val="28"/>
                <w:szCs w:val="28"/>
              </w:rPr>
            </w:pPr>
            <w:r w:rsidRPr="00970FA4">
              <w:rPr>
                <w:b/>
                <w:bCs/>
                <w:color w:val="FFFFFF" w:themeColor="background1"/>
                <w:sz w:val="28"/>
                <w:szCs w:val="28"/>
              </w:rPr>
              <w:t xml:space="preserve">Telephone </w:t>
            </w:r>
          </w:p>
        </w:tc>
        <w:tc>
          <w:tcPr>
            <w:tcW w:w="6753" w:type="dxa"/>
          </w:tcPr>
          <w:p w14:paraId="0AB7BE32" w14:textId="77777777" w:rsidR="00ED053D" w:rsidRDefault="00ED053D" w:rsidP="00BD13FF">
            <w:r>
              <w:t>0300 323 0096</w:t>
            </w:r>
          </w:p>
        </w:tc>
      </w:tr>
      <w:tr w:rsidR="00ED053D" w14:paraId="7884A766" w14:textId="77777777" w:rsidTr="00BD13FF">
        <w:tc>
          <w:tcPr>
            <w:tcW w:w="2263" w:type="dxa"/>
            <w:shd w:val="clear" w:color="auto" w:fill="4472C4" w:themeFill="accent1"/>
          </w:tcPr>
          <w:p w14:paraId="45879206" w14:textId="77777777" w:rsidR="00ED053D" w:rsidRPr="00970FA4" w:rsidRDefault="00ED053D" w:rsidP="00BD13FF">
            <w:pPr>
              <w:rPr>
                <w:b/>
                <w:bCs/>
                <w:color w:val="FFFFFF" w:themeColor="background1"/>
                <w:sz w:val="28"/>
                <w:szCs w:val="28"/>
              </w:rPr>
            </w:pPr>
            <w:r w:rsidRPr="2A1E1B4C">
              <w:rPr>
                <w:b/>
                <w:bCs/>
                <w:color w:val="FFFFFF" w:themeColor="background1"/>
                <w:sz w:val="28"/>
                <w:szCs w:val="28"/>
              </w:rPr>
              <w:t xml:space="preserve">Address </w:t>
            </w:r>
          </w:p>
        </w:tc>
        <w:tc>
          <w:tcPr>
            <w:tcW w:w="6753" w:type="dxa"/>
          </w:tcPr>
          <w:p w14:paraId="7CF9D09C" w14:textId="77777777" w:rsidR="00ED053D" w:rsidRDefault="00ED053D" w:rsidP="00BD13FF">
            <w:pPr>
              <w:spacing w:after="4" w:line="268" w:lineRule="auto"/>
              <w:ind w:right="31"/>
            </w:pPr>
            <w:r>
              <w:t xml:space="preserve">Royal Life Saving Society </w:t>
            </w:r>
          </w:p>
          <w:p w14:paraId="16C4E81C" w14:textId="77777777" w:rsidR="00ED053D" w:rsidRDefault="00ED053D" w:rsidP="00BD13FF">
            <w:pPr>
              <w:spacing w:after="4" w:line="268" w:lineRule="auto"/>
              <w:ind w:right="31"/>
            </w:pPr>
            <w:r>
              <w:t xml:space="preserve">Red Hill House </w:t>
            </w:r>
          </w:p>
          <w:p w14:paraId="1B09422E" w14:textId="77777777" w:rsidR="00ED053D" w:rsidRDefault="00ED053D" w:rsidP="00BD13FF">
            <w:pPr>
              <w:spacing w:after="4" w:line="268" w:lineRule="auto"/>
              <w:ind w:right="31"/>
            </w:pPr>
            <w:r>
              <w:t xml:space="preserve">227 London Road </w:t>
            </w:r>
          </w:p>
          <w:p w14:paraId="4D3CA78A" w14:textId="77777777" w:rsidR="00ED053D" w:rsidRDefault="00ED053D" w:rsidP="00BD13FF">
            <w:pPr>
              <w:spacing w:after="4" w:line="268" w:lineRule="auto"/>
              <w:ind w:right="31"/>
            </w:pPr>
            <w:r>
              <w:t>Worcester</w:t>
            </w:r>
          </w:p>
          <w:p w14:paraId="2AF44841" w14:textId="77777777" w:rsidR="00ED053D" w:rsidRDefault="00ED053D" w:rsidP="00BD13FF">
            <w:pPr>
              <w:rPr>
                <w:rFonts w:eastAsiaTheme="minorEastAsia"/>
                <w:noProof/>
              </w:rPr>
            </w:pPr>
            <w:r>
              <w:t>WR5 2JG</w:t>
            </w:r>
          </w:p>
        </w:tc>
      </w:tr>
    </w:tbl>
    <w:p w14:paraId="1F8B4E23" w14:textId="77777777" w:rsidR="00ED053D" w:rsidRDefault="00ED053D" w:rsidP="00100C54">
      <w:pPr>
        <w:spacing w:after="240"/>
        <w:jc w:val="both"/>
        <w:rPr>
          <w:color w:val="434343"/>
        </w:rPr>
      </w:pPr>
    </w:p>
    <w:p w14:paraId="578D6BD8" w14:textId="470F6465" w:rsidR="00100C54" w:rsidRPr="007837B2" w:rsidRDefault="00100C54" w:rsidP="00100C54">
      <w:pPr>
        <w:spacing w:after="240"/>
        <w:jc w:val="both"/>
        <w:rPr>
          <w:color w:val="434343"/>
        </w:rPr>
      </w:pPr>
      <w:r w:rsidRPr="00C0671C">
        <w:rPr>
          <w:color w:val="434343"/>
        </w:rPr>
        <w:t xml:space="preserve">Should you address your complaint to </w:t>
      </w:r>
      <w:r w:rsidR="00ED053D">
        <w:rPr>
          <w:color w:val="434343"/>
        </w:rPr>
        <w:t>RLSS UK Qualifications</w:t>
      </w:r>
      <w:r w:rsidRPr="00C0671C">
        <w:rPr>
          <w:color w:val="434343"/>
        </w:rPr>
        <w:t xml:space="preserve"> and remain unhappy with the outcome</w:t>
      </w:r>
      <w:r w:rsidR="00C371C6">
        <w:rPr>
          <w:color w:val="434343"/>
        </w:rPr>
        <w:t>,</w:t>
      </w:r>
      <w:r w:rsidRPr="00C0671C">
        <w:rPr>
          <w:color w:val="434343"/>
        </w:rPr>
        <w:t xml:space="preserve"> you may then raise your complaint to the relevant qualification regulator.  Either a representative of </w:t>
      </w:r>
      <w:r>
        <w:rPr>
          <w:color w:val="434343"/>
        </w:rPr>
        <w:t xml:space="preserve">The Arker Group Ltd </w:t>
      </w:r>
      <w:r w:rsidRPr="00C0671C">
        <w:rPr>
          <w:color w:val="434343"/>
        </w:rPr>
        <w:t xml:space="preserve">or </w:t>
      </w:r>
      <w:r w:rsidR="007A2246">
        <w:rPr>
          <w:color w:val="434343"/>
        </w:rPr>
        <w:t>RLSS UK</w:t>
      </w:r>
      <w:r w:rsidRPr="00C0671C">
        <w:rPr>
          <w:color w:val="434343"/>
        </w:rPr>
        <w:t xml:space="preserve"> Qualifications will be able to offer you guidance on the appropriate qualification regulator in each instance and provide contact details.</w:t>
      </w:r>
    </w:p>
    <w:p w14:paraId="26DBE7C3" w14:textId="77777777" w:rsidR="00100C54" w:rsidRPr="00883AB6" w:rsidRDefault="00100C54" w:rsidP="00883AB6">
      <w:pPr>
        <w:pStyle w:val="ListParagraph"/>
        <w:spacing w:after="240"/>
        <w:ind w:left="0"/>
        <w:jc w:val="both"/>
        <w:rPr>
          <w:color w:val="434343"/>
        </w:rPr>
      </w:pPr>
    </w:p>
    <w:sectPr w:rsidR="00100C54" w:rsidRPr="00883AB6" w:rsidSect="00E010E9">
      <w:headerReference w:type="default" r:id="rId14"/>
      <w:footerReference w:type="default" r:id="rId15"/>
      <w:pgSz w:w="11906" w:h="16838"/>
      <w:pgMar w:top="2140" w:right="1440" w:bottom="21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9D6D" w14:textId="77777777" w:rsidR="00096007" w:rsidRDefault="00096007" w:rsidP="00A27A56">
      <w:r>
        <w:separator/>
      </w:r>
    </w:p>
  </w:endnote>
  <w:endnote w:type="continuationSeparator" w:id="0">
    <w:p w14:paraId="359E2A79" w14:textId="77777777" w:rsidR="00096007" w:rsidRDefault="00096007" w:rsidP="00A2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8661" w14:textId="77777777" w:rsidR="00366B08" w:rsidRDefault="00366B08" w:rsidP="00366B08">
    <w:pPr>
      <w:pStyle w:val="Footer"/>
      <w:rPr>
        <w:color w:val="434343"/>
      </w:rPr>
    </w:pPr>
    <w:r w:rsidRPr="0070094D">
      <w:rPr>
        <w:color w:val="434343"/>
      </w:rPr>
      <w:t>The Arker Group Ltd</w:t>
    </w:r>
  </w:p>
  <w:p w14:paraId="473CE545" w14:textId="77777777" w:rsidR="00366B08" w:rsidRDefault="00366B08" w:rsidP="00366B08">
    <w:pPr>
      <w:pStyle w:val="Footer"/>
      <w:rPr>
        <w:color w:val="434343"/>
      </w:rPr>
    </w:pPr>
    <w:r>
      <w:rPr>
        <w:color w:val="434343"/>
      </w:rPr>
      <w:t>58 Wollaton Road</w:t>
    </w:r>
  </w:p>
  <w:p w14:paraId="1EC39789" w14:textId="77777777" w:rsidR="00366B08" w:rsidRDefault="00366B08" w:rsidP="00366B08">
    <w:pPr>
      <w:pStyle w:val="Footer"/>
      <w:rPr>
        <w:color w:val="434343"/>
      </w:rPr>
    </w:pPr>
    <w:r>
      <w:rPr>
        <w:color w:val="434343"/>
      </w:rPr>
      <w:t>Sheffield</w:t>
    </w:r>
  </w:p>
  <w:p w14:paraId="0F648D3C" w14:textId="60CFD630" w:rsidR="00A27A56" w:rsidRPr="00366B08" w:rsidRDefault="00366B08" w:rsidP="00366B08">
    <w:pPr>
      <w:pStyle w:val="Footer"/>
      <w:rPr>
        <w:color w:val="434343"/>
      </w:rPr>
    </w:pPr>
    <w:r>
      <w:rPr>
        <w:color w:val="434343"/>
      </w:rPr>
      <w:t>S17 4LG</w:t>
    </w:r>
    <w:r>
      <w:rPr>
        <w:color w:val="434343"/>
      </w:rPr>
      <w:tab/>
    </w:r>
    <w:r w:rsidRPr="0070094D">
      <w:rPr>
        <w:color w:val="434343"/>
      </w:rPr>
      <w:tab/>
    </w:r>
    <w:r w:rsidRPr="0070094D">
      <w:rPr>
        <w:rFonts w:cstheme="minorHAnsi"/>
        <w:color w:val="434343"/>
      </w:rPr>
      <w:t xml:space="preserve">Page </w:t>
    </w:r>
    <w:r w:rsidRPr="0070094D">
      <w:rPr>
        <w:rFonts w:cstheme="minorHAnsi"/>
        <w:color w:val="434343"/>
      </w:rPr>
      <w:fldChar w:fldCharType="begin"/>
    </w:r>
    <w:r w:rsidRPr="0070094D">
      <w:rPr>
        <w:rFonts w:cstheme="minorHAnsi"/>
        <w:color w:val="434343"/>
      </w:rPr>
      <w:instrText xml:space="preserve"> PAGE </w:instrText>
    </w:r>
    <w:r w:rsidRPr="0070094D">
      <w:rPr>
        <w:rFonts w:cstheme="minorHAnsi"/>
        <w:color w:val="434343"/>
      </w:rPr>
      <w:fldChar w:fldCharType="separate"/>
    </w:r>
    <w:r>
      <w:rPr>
        <w:rFonts w:cstheme="minorHAnsi"/>
        <w:color w:val="434343"/>
      </w:rPr>
      <w:t>1</w:t>
    </w:r>
    <w:r w:rsidRPr="0070094D">
      <w:rPr>
        <w:rFonts w:cstheme="minorHAnsi"/>
        <w:color w:val="434343"/>
      </w:rPr>
      <w:fldChar w:fldCharType="end"/>
    </w:r>
    <w:r w:rsidRPr="0070094D">
      <w:rPr>
        <w:rFonts w:cstheme="minorHAnsi"/>
        <w:color w:val="434343"/>
      </w:rPr>
      <w:t xml:space="preserve"> of </w:t>
    </w:r>
    <w:r w:rsidRPr="0070094D">
      <w:rPr>
        <w:rFonts w:cstheme="minorHAnsi"/>
        <w:color w:val="434343"/>
      </w:rPr>
      <w:fldChar w:fldCharType="begin"/>
    </w:r>
    <w:r w:rsidRPr="0070094D">
      <w:rPr>
        <w:rFonts w:cstheme="minorHAnsi"/>
        <w:color w:val="434343"/>
      </w:rPr>
      <w:instrText xml:space="preserve"> NUMPAGES </w:instrText>
    </w:r>
    <w:r w:rsidRPr="0070094D">
      <w:rPr>
        <w:rFonts w:cstheme="minorHAnsi"/>
        <w:color w:val="434343"/>
      </w:rPr>
      <w:fldChar w:fldCharType="separate"/>
    </w:r>
    <w:r>
      <w:rPr>
        <w:rFonts w:cstheme="minorHAnsi"/>
        <w:color w:val="434343"/>
      </w:rPr>
      <w:t>3</w:t>
    </w:r>
    <w:r w:rsidRPr="0070094D">
      <w:rPr>
        <w:rFonts w:cstheme="minorHAnsi"/>
        <w:color w:val="43434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F5D8" w14:textId="77777777" w:rsidR="00096007" w:rsidRDefault="00096007" w:rsidP="00A27A56">
      <w:r>
        <w:separator/>
      </w:r>
    </w:p>
  </w:footnote>
  <w:footnote w:type="continuationSeparator" w:id="0">
    <w:p w14:paraId="5B08FEFF" w14:textId="77777777" w:rsidR="00096007" w:rsidRDefault="00096007" w:rsidP="00A2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63CF" w14:textId="79646C8F" w:rsidR="00740D8B" w:rsidRPr="0070094D" w:rsidRDefault="00740D8B" w:rsidP="00740D8B">
    <w:pPr>
      <w:pStyle w:val="Footer"/>
      <w:ind w:right="360"/>
      <w:rPr>
        <w:noProof/>
        <w:color w:val="434343"/>
      </w:rPr>
    </w:pPr>
    <w:r w:rsidRPr="0070094D">
      <w:rPr>
        <w:noProof/>
        <w:color w:val="434343"/>
      </w:rPr>
      <w:drawing>
        <wp:anchor distT="0" distB="0" distL="114300" distR="114300" simplePos="0" relativeHeight="251659264" behindDoc="1" locked="0" layoutInCell="1" allowOverlap="1" wp14:anchorId="39AE26FC" wp14:editId="1678BA2A">
          <wp:simplePos x="0" y="0"/>
          <wp:positionH relativeFrom="column">
            <wp:posOffset>2035175</wp:posOffset>
          </wp:positionH>
          <wp:positionV relativeFrom="paragraph">
            <wp:posOffset>160201</wp:posOffset>
          </wp:positionV>
          <wp:extent cx="1535689" cy="516367"/>
          <wp:effectExtent l="0" t="0" r="1270" b="4445"/>
          <wp:wrapNone/>
          <wp:docPr id="90776623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623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689" cy="516367"/>
                  </a:xfrm>
                  <a:prstGeom prst="rect">
                    <a:avLst/>
                  </a:prstGeom>
                </pic:spPr>
              </pic:pic>
            </a:graphicData>
          </a:graphic>
          <wp14:sizeRelH relativeFrom="page">
            <wp14:pctWidth>0</wp14:pctWidth>
          </wp14:sizeRelH>
          <wp14:sizeRelV relativeFrom="page">
            <wp14:pctHeight>0</wp14:pctHeight>
          </wp14:sizeRelV>
        </wp:anchor>
      </w:drawing>
    </w:r>
    <w:r w:rsidR="00D50F91">
      <w:rPr>
        <w:noProof/>
        <w:color w:val="434343"/>
      </w:rPr>
      <w:t>Complaints</w:t>
    </w:r>
    <w:r w:rsidR="00493B9E">
      <w:rPr>
        <w:noProof/>
        <w:color w:val="434343"/>
      </w:rPr>
      <w:t xml:space="preserve"> </w:t>
    </w:r>
    <w:r w:rsidR="00493B9E" w:rsidRPr="00493B9E">
      <w:rPr>
        <w:noProof/>
        <w:color w:val="434343"/>
      </w:rPr>
      <w:t>Policy</w:t>
    </w:r>
    <w:r w:rsidRPr="0070094D">
      <w:rPr>
        <w:color w:val="434343"/>
      </w:rPr>
      <w:tab/>
    </w:r>
    <w:r w:rsidRPr="0070094D">
      <w:rPr>
        <w:color w:val="434343"/>
      </w:rPr>
      <w:tab/>
    </w:r>
    <w:r w:rsidRPr="0070094D">
      <w:rPr>
        <w:rFonts w:cstheme="minorHAnsi"/>
        <w:color w:val="434343"/>
      </w:rPr>
      <w:t>Author: Partner</w:t>
    </w:r>
  </w:p>
  <w:p w14:paraId="00EDEFD1" w14:textId="2CCA51D3" w:rsidR="00740D8B" w:rsidRPr="0070094D" w:rsidRDefault="00740D8B" w:rsidP="00740D8B">
    <w:pPr>
      <w:pStyle w:val="Footer"/>
      <w:rPr>
        <w:color w:val="434343"/>
      </w:rPr>
    </w:pPr>
    <w:r w:rsidRPr="0070094D">
      <w:rPr>
        <w:color w:val="434343"/>
      </w:rPr>
      <w:t xml:space="preserve">Version </w:t>
    </w:r>
    <w:r w:rsidR="003C07CB">
      <w:rPr>
        <w:color w:val="434343"/>
      </w:rPr>
      <w:t>3</w:t>
    </w:r>
    <w:r w:rsidRPr="0070094D">
      <w:rPr>
        <w:color w:val="434343"/>
      </w:rPr>
      <w:tab/>
    </w:r>
    <w:r w:rsidRPr="0070094D">
      <w:rPr>
        <w:color w:val="434343"/>
      </w:rPr>
      <w:tab/>
      <w:t xml:space="preserve">Implemented on: </w:t>
    </w:r>
    <w:r w:rsidR="00366B08">
      <w:rPr>
        <w:color w:val="434343"/>
      </w:rPr>
      <w:t>1</w:t>
    </w:r>
    <w:r w:rsidRPr="0070094D">
      <w:rPr>
        <w:color w:val="434343"/>
      </w:rPr>
      <w:t xml:space="preserve"> </w:t>
    </w:r>
    <w:r w:rsidR="00366B08">
      <w:rPr>
        <w:color w:val="434343"/>
      </w:rPr>
      <w:t>Nov</w:t>
    </w:r>
    <w:r w:rsidRPr="0070094D">
      <w:rPr>
        <w:color w:val="434343"/>
      </w:rPr>
      <w:t xml:space="preserve"> 2023</w:t>
    </w:r>
  </w:p>
  <w:p w14:paraId="12272D51" w14:textId="7ED0C537" w:rsidR="00A27A56" w:rsidRPr="00740D8B" w:rsidRDefault="00026280" w:rsidP="00740D8B">
    <w:pPr>
      <w:pStyle w:val="Footer"/>
      <w:rPr>
        <w:color w:val="434343"/>
      </w:rPr>
    </w:pPr>
    <w:r>
      <w:rPr>
        <w:color w:val="434343"/>
      </w:rPr>
      <w:t xml:space="preserve">Doc </w:t>
    </w:r>
    <w:r w:rsidR="00C01CBA">
      <w:rPr>
        <w:color w:val="434343"/>
      </w:rPr>
      <w:t>Ref</w:t>
    </w:r>
    <w:r>
      <w:rPr>
        <w:color w:val="434343"/>
      </w:rPr>
      <w:t xml:space="preserve">: </w:t>
    </w:r>
    <w:r w:rsidR="00C67683">
      <w:rPr>
        <w:color w:val="434343"/>
      </w:rPr>
      <w:t>LTD004</w:t>
    </w:r>
    <w:r w:rsidR="00740D8B" w:rsidRPr="0070094D">
      <w:rPr>
        <w:color w:val="434343"/>
      </w:rPr>
      <w:tab/>
    </w:r>
    <w:r w:rsidR="00740D8B" w:rsidRPr="0070094D">
      <w:rPr>
        <w:color w:val="434343"/>
      </w:rPr>
      <w:tab/>
      <w:t xml:space="preserve">Date last reviewed: </w:t>
    </w:r>
    <w:r w:rsidR="003C07CB">
      <w:rPr>
        <w:color w:val="434343"/>
      </w:rPr>
      <w:t>1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935"/>
    <w:multiLevelType w:val="hybridMultilevel"/>
    <w:tmpl w:val="5E80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21BEC"/>
    <w:multiLevelType w:val="hybridMultilevel"/>
    <w:tmpl w:val="F0187D70"/>
    <w:lvl w:ilvl="0" w:tplc="0809000F">
      <w:numFmt w:val="decimal"/>
      <w:lvlText w:val="%1."/>
      <w:lvlJc w:val="left"/>
      <w:pPr>
        <w:ind w:left="720" w:hanging="360"/>
      </w:pPr>
      <w:rPr>
        <w:rFonts w:hint="default"/>
      </w:rPr>
    </w:lvl>
    <w:lvl w:ilvl="1" w:tplc="C9C8733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A241C"/>
    <w:multiLevelType w:val="hybridMultilevel"/>
    <w:tmpl w:val="2106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689F"/>
    <w:multiLevelType w:val="hybridMultilevel"/>
    <w:tmpl w:val="D040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01140"/>
    <w:multiLevelType w:val="hybridMultilevel"/>
    <w:tmpl w:val="DB72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C3ECD"/>
    <w:multiLevelType w:val="hybridMultilevel"/>
    <w:tmpl w:val="044C4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1B3E87"/>
    <w:multiLevelType w:val="hybridMultilevel"/>
    <w:tmpl w:val="0D525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D7D11"/>
    <w:multiLevelType w:val="hybridMultilevel"/>
    <w:tmpl w:val="B01C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A7992"/>
    <w:multiLevelType w:val="hybridMultilevel"/>
    <w:tmpl w:val="2CE6E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27F7E"/>
    <w:multiLevelType w:val="hybridMultilevel"/>
    <w:tmpl w:val="A78E6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921A3"/>
    <w:multiLevelType w:val="hybridMultilevel"/>
    <w:tmpl w:val="240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502F2"/>
    <w:multiLevelType w:val="hybridMultilevel"/>
    <w:tmpl w:val="55866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123EC"/>
    <w:multiLevelType w:val="hybridMultilevel"/>
    <w:tmpl w:val="A81A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57ED5"/>
    <w:multiLevelType w:val="hybridMultilevel"/>
    <w:tmpl w:val="F1E4447C"/>
    <w:lvl w:ilvl="0" w:tplc="CBCCEF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938D0"/>
    <w:multiLevelType w:val="hybridMultilevel"/>
    <w:tmpl w:val="8116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A0879"/>
    <w:multiLevelType w:val="hybridMultilevel"/>
    <w:tmpl w:val="722C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2651F"/>
    <w:multiLevelType w:val="hybridMultilevel"/>
    <w:tmpl w:val="68C6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70269"/>
    <w:multiLevelType w:val="hybridMultilevel"/>
    <w:tmpl w:val="669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A77BA3"/>
    <w:multiLevelType w:val="hybridMultilevel"/>
    <w:tmpl w:val="D0B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14C1C"/>
    <w:multiLevelType w:val="hybridMultilevel"/>
    <w:tmpl w:val="386C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8623A"/>
    <w:multiLevelType w:val="multilevel"/>
    <w:tmpl w:val="2574450C"/>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490B08"/>
    <w:multiLevelType w:val="hybridMultilevel"/>
    <w:tmpl w:val="A5EC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60399"/>
    <w:multiLevelType w:val="multilevel"/>
    <w:tmpl w:val="CBE23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D91D70"/>
    <w:multiLevelType w:val="hybridMultilevel"/>
    <w:tmpl w:val="C3F6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3B5A53"/>
    <w:multiLevelType w:val="hybridMultilevel"/>
    <w:tmpl w:val="C516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445179">
    <w:abstractNumId w:val="1"/>
  </w:num>
  <w:num w:numId="2" w16cid:durableId="1053310820">
    <w:abstractNumId w:val="7"/>
  </w:num>
  <w:num w:numId="3" w16cid:durableId="942420297">
    <w:abstractNumId w:val="21"/>
  </w:num>
  <w:num w:numId="4" w16cid:durableId="1540898162">
    <w:abstractNumId w:val="17"/>
  </w:num>
  <w:num w:numId="5" w16cid:durableId="1586768764">
    <w:abstractNumId w:val="22"/>
  </w:num>
  <w:num w:numId="6" w16cid:durableId="635185364">
    <w:abstractNumId w:val="18"/>
  </w:num>
  <w:num w:numId="7" w16cid:durableId="2092769358">
    <w:abstractNumId w:val="2"/>
  </w:num>
  <w:num w:numId="8" w16cid:durableId="589506913">
    <w:abstractNumId w:val="8"/>
  </w:num>
  <w:num w:numId="9" w16cid:durableId="100270937">
    <w:abstractNumId w:val="5"/>
  </w:num>
  <w:num w:numId="10" w16cid:durableId="683016476">
    <w:abstractNumId w:val="9"/>
  </w:num>
  <w:num w:numId="11" w16cid:durableId="1920478496">
    <w:abstractNumId w:val="16"/>
  </w:num>
  <w:num w:numId="12" w16cid:durableId="1495485414">
    <w:abstractNumId w:val="20"/>
  </w:num>
  <w:num w:numId="13" w16cid:durableId="1042560995">
    <w:abstractNumId w:val="10"/>
  </w:num>
  <w:num w:numId="14" w16cid:durableId="426660472">
    <w:abstractNumId w:val="4"/>
  </w:num>
  <w:num w:numId="15" w16cid:durableId="852189350">
    <w:abstractNumId w:val="23"/>
  </w:num>
  <w:num w:numId="16" w16cid:durableId="2042169780">
    <w:abstractNumId w:val="14"/>
  </w:num>
  <w:num w:numId="17" w16cid:durableId="1298145563">
    <w:abstractNumId w:val="11"/>
  </w:num>
  <w:num w:numId="18" w16cid:durableId="2250475">
    <w:abstractNumId w:val="12"/>
  </w:num>
  <w:num w:numId="19" w16cid:durableId="798690334">
    <w:abstractNumId w:val="0"/>
  </w:num>
  <w:num w:numId="20" w16cid:durableId="634067409">
    <w:abstractNumId w:val="3"/>
  </w:num>
  <w:num w:numId="21" w16cid:durableId="29260503">
    <w:abstractNumId w:val="15"/>
  </w:num>
  <w:num w:numId="22" w16cid:durableId="347873768">
    <w:abstractNumId w:val="24"/>
  </w:num>
  <w:num w:numId="23" w16cid:durableId="1217661034">
    <w:abstractNumId w:val="19"/>
  </w:num>
  <w:num w:numId="24" w16cid:durableId="2124226252">
    <w:abstractNumId w:val="6"/>
  </w:num>
  <w:num w:numId="25" w16cid:durableId="440300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7C"/>
    <w:rsid w:val="0001657B"/>
    <w:rsid w:val="00022668"/>
    <w:rsid w:val="00026280"/>
    <w:rsid w:val="00026C01"/>
    <w:rsid w:val="000365C1"/>
    <w:rsid w:val="000433B0"/>
    <w:rsid w:val="00052DF7"/>
    <w:rsid w:val="0007065C"/>
    <w:rsid w:val="00077447"/>
    <w:rsid w:val="0008082E"/>
    <w:rsid w:val="00083332"/>
    <w:rsid w:val="0008613A"/>
    <w:rsid w:val="000930A8"/>
    <w:rsid w:val="000940FD"/>
    <w:rsid w:val="00096007"/>
    <w:rsid w:val="000A6322"/>
    <w:rsid w:val="000A7844"/>
    <w:rsid w:val="000A7B47"/>
    <w:rsid w:val="000B755E"/>
    <w:rsid w:val="000C10C8"/>
    <w:rsid w:val="000D63B0"/>
    <w:rsid w:val="000D647C"/>
    <w:rsid w:val="000E699C"/>
    <w:rsid w:val="000F643E"/>
    <w:rsid w:val="00100C54"/>
    <w:rsid w:val="00101A17"/>
    <w:rsid w:val="001113A9"/>
    <w:rsid w:val="001135F1"/>
    <w:rsid w:val="00123A78"/>
    <w:rsid w:val="00132ED1"/>
    <w:rsid w:val="00137DD1"/>
    <w:rsid w:val="00142A4B"/>
    <w:rsid w:val="001452A8"/>
    <w:rsid w:val="00151839"/>
    <w:rsid w:val="00151C65"/>
    <w:rsid w:val="00193435"/>
    <w:rsid w:val="001967BB"/>
    <w:rsid w:val="001A0015"/>
    <w:rsid w:val="001A1E23"/>
    <w:rsid w:val="001A33B8"/>
    <w:rsid w:val="001A580D"/>
    <w:rsid w:val="001C0013"/>
    <w:rsid w:val="001E0471"/>
    <w:rsid w:val="001E519C"/>
    <w:rsid w:val="001F04BB"/>
    <w:rsid w:val="002417FB"/>
    <w:rsid w:val="00243EC0"/>
    <w:rsid w:val="00247198"/>
    <w:rsid w:val="00255C2B"/>
    <w:rsid w:val="0025764E"/>
    <w:rsid w:val="00257EC7"/>
    <w:rsid w:val="00276982"/>
    <w:rsid w:val="00290A17"/>
    <w:rsid w:val="002B31E6"/>
    <w:rsid w:val="002C16C0"/>
    <w:rsid w:val="002C3FC0"/>
    <w:rsid w:val="002C5D9C"/>
    <w:rsid w:val="002D762E"/>
    <w:rsid w:val="0031668A"/>
    <w:rsid w:val="00330993"/>
    <w:rsid w:val="00347DB7"/>
    <w:rsid w:val="003547A0"/>
    <w:rsid w:val="00366B08"/>
    <w:rsid w:val="00367045"/>
    <w:rsid w:val="00380E75"/>
    <w:rsid w:val="003912D9"/>
    <w:rsid w:val="003A3DB0"/>
    <w:rsid w:val="003A5AC0"/>
    <w:rsid w:val="003A7E6E"/>
    <w:rsid w:val="003C07CB"/>
    <w:rsid w:val="003C21DA"/>
    <w:rsid w:val="003C4E6A"/>
    <w:rsid w:val="003C7E24"/>
    <w:rsid w:val="003D5353"/>
    <w:rsid w:val="003D6BDB"/>
    <w:rsid w:val="003E252A"/>
    <w:rsid w:val="003E4FC8"/>
    <w:rsid w:val="003F2C50"/>
    <w:rsid w:val="003F45E1"/>
    <w:rsid w:val="00400808"/>
    <w:rsid w:val="00406ADE"/>
    <w:rsid w:val="0041196C"/>
    <w:rsid w:val="004355A8"/>
    <w:rsid w:val="00453ED6"/>
    <w:rsid w:val="0045629F"/>
    <w:rsid w:val="00460708"/>
    <w:rsid w:val="00466234"/>
    <w:rsid w:val="00467A71"/>
    <w:rsid w:val="00472201"/>
    <w:rsid w:val="00480503"/>
    <w:rsid w:val="00482791"/>
    <w:rsid w:val="004858C0"/>
    <w:rsid w:val="004876CF"/>
    <w:rsid w:val="00491076"/>
    <w:rsid w:val="00493B9E"/>
    <w:rsid w:val="004A303C"/>
    <w:rsid w:val="004A35F3"/>
    <w:rsid w:val="004A4F8E"/>
    <w:rsid w:val="004B1E45"/>
    <w:rsid w:val="004D7FE0"/>
    <w:rsid w:val="004F371B"/>
    <w:rsid w:val="004F3D83"/>
    <w:rsid w:val="0051543F"/>
    <w:rsid w:val="005176C2"/>
    <w:rsid w:val="005217CD"/>
    <w:rsid w:val="0054036F"/>
    <w:rsid w:val="005432E0"/>
    <w:rsid w:val="00551280"/>
    <w:rsid w:val="005626A5"/>
    <w:rsid w:val="00563A8E"/>
    <w:rsid w:val="00577BE6"/>
    <w:rsid w:val="00585AE7"/>
    <w:rsid w:val="00590039"/>
    <w:rsid w:val="0059427B"/>
    <w:rsid w:val="005A31FD"/>
    <w:rsid w:val="005A6761"/>
    <w:rsid w:val="005B2ADD"/>
    <w:rsid w:val="005E076A"/>
    <w:rsid w:val="005F0A00"/>
    <w:rsid w:val="005F3054"/>
    <w:rsid w:val="005F7290"/>
    <w:rsid w:val="0060487D"/>
    <w:rsid w:val="006267CA"/>
    <w:rsid w:val="00631394"/>
    <w:rsid w:val="006328D0"/>
    <w:rsid w:val="00636559"/>
    <w:rsid w:val="00636D62"/>
    <w:rsid w:val="00640A16"/>
    <w:rsid w:val="0064371D"/>
    <w:rsid w:val="00674ECF"/>
    <w:rsid w:val="00692F9A"/>
    <w:rsid w:val="006A08DD"/>
    <w:rsid w:val="006A77F6"/>
    <w:rsid w:val="006C378B"/>
    <w:rsid w:val="006C7556"/>
    <w:rsid w:val="006D144F"/>
    <w:rsid w:val="006D1591"/>
    <w:rsid w:val="006D2356"/>
    <w:rsid w:val="006E4CA9"/>
    <w:rsid w:val="006F60EE"/>
    <w:rsid w:val="006F6996"/>
    <w:rsid w:val="00710CAC"/>
    <w:rsid w:val="007314E6"/>
    <w:rsid w:val="007379C5"/>
    <w:rsid w:val="00740D8B"/>
    <w:rsid w:val="00750CE1"/>
    <w:rsid w:val="0076679F"/>
    <w:rsid w:val="00766BAE"/>
    <w:rsid w:val="00770867"/>
    <w:rsid w:val="00774129"/>
    <w:rsid w:val="00780430"/>
    <w:rsid w:val="007837B2"/>
    <w:rsid w:val="0078592A"/>
    <w:rsid w:val="007966E3"/>
    <w:rsid w:val="007A2246"/>
    <w:rsid w:val="007A4621"/>
    <w:rsid w:val="007A7591"/>
    <w:rsid w:val="007B4ECF"/>
    <w:rsid w:val="007C4DDF"/>
    <w:rsid w:val="007E2616"/>
    <w:rsid w:val="007E294D"/>
    <w:rsid w:val="007E3C83"/>
    <w:rsid w:val="007F6E90"/>
    <w:rsid w:val="00826542"/>
    <w:rsid w:val="00834808"/>
    <w:rsid w:val="00836EBA"/>
    <w:rsid w:val="00837A14"/>
    <w:rsid w:val="0084149E"/>
    <w:rsid w:val="00852385"/>
    <w:rsid w:val="00854080"/>
    <w:rsid w:val="008543BE"/>
    <w:rsid w:val="00861219"/>
    <w:rsid w:val="00861C97"/>
    <w:rsid w:val="00862A1A"/>
    <w:rsid w:val="00863E19"/>
    <w:rsid w:val="00867BCB"/>
    <w:rsid w:val="0088137C"/>
    <w:rsid w:val="00883AB6"/>
    <w:rsid w:val="0089046F"/>
    <w:rsid w:val="00892E7D"/>
    <w:rsid w:val="00894320"/>
    <w:rsid w:val="008A1AED"/>
    <w:rsid w:val="008B5315"/>
    <w:rsid w:val="008B72C3"/>
    <w:rsid w:val="008D3699"/>
    <w:rsid w:val="008F3F26"/>
    <w:rsid w:val="009206BA"/>
    <w:rsid w:val="009236F3"/>
    <w:rsid w:val="00924CD0"/>
    <w:rsid w:val="00925FA3"/>
    <w:rsid w:val="00927703"/>
    <w:rsid w:val="00932B58"/>
    <w:rsid w:val="00941D4E"/>
    <w:rsid w:val="0094340B"/>
    <w:rsid w:val="00963AB7"/>
    <w:rsid w:val="0097669D"/>
    <w:rsid w:val="009826C3"/>
    <w:rsid w:val="00982C05"/>
    <w:rsid w:val="00982D1A"/>
    <w:rsid w:val="00990B73"/>
    <w:rsid w:val="00997E0F"/>
    <w:rsid w:val="009A2B48"/>
    <w:rsid w:val="009B0DA1"/>
    <w:rsid w:val="009B1453"/>
    <w:rsid w:val="009B2081"/>
    <w:rsid w:val="009B33A8"/>
    <w:rsid w:val="009B46A6"/>
    <w:rsid w:val="009C38AA"/>
    <w:rsid w:val="009D018B"/>
    <w:rsid w:val="009E5EF5"/>
    <w:rsid w:val="009E77CE"/>
    <w:rsid w:val="009F4E7F"/>
    <w:rsid w:val="009F5FC5"/>
    <w:rsid w:val="00A00F16"/>
    <w:rsid w:val="00A06783"/>
    <w:rsid w:val="00A120C8"/>
    <w:rsid w:val="00A12297"/>
    <w:rsid w:val="00A15985"/>
    <w:rsid w:val="00A27A56"/>
    <w:rsid w:val="00A30098"/>
    <w:rsid w:val="00A352D4"/>
    <w:rsid w:val="00A35AFD"/>
    <w:rsid w:val="00A42C2A"/>
    <w:rsid w:val="00A508D2"/>
    <w:rsid w:val="00A52440"/>
    <w:rsid w:val="00A53425"/>
    <w:rsid w:val="00A5411A"/>
    <w:rsid w:val="00A54A13"/>
    <w:rsid w:val="00A657EE"/>
    <w:rsid w:val="00A660A9"/>
    <w:rsid w:val="00A7398F"/>
    <w:rsid w:val="00A746B5"/>
    <w:rsid w:val="00A80902"/>
    <w:rsid w:val="00A81494"/>
    <w:rsid w:val="00AB546F"/>
    <w:rsid w:val="00AB6EFC"/>
    <w:rsid w:val="00AC44C5"/>
    <w:rsid w:val="00AC56D3"/>
    <w:rsid w:val="00AC6B11"/>
    <w:rsid w:val="00AD533F"/>
    <w:rsid w:val="00B0068F"/>
    <w:rsid w:val="00B15940"/>
    <w:rsid w:val="00B308EE"/>
    <w:rsid w:val="00B361EC"/>
    <w:rsid w:val="00B37417"/>
    <w:rsid w:val="00B42189"/>
    <w:rsid w:val="00B639C7"/>
    <w:rsid w:val="00B7754A"/>
    <w:rsid w:val="00B82483"/>
    <w:rsid w:val="00B84567"/>
    <w:rsid w:val="00B973B0"/>
    <w:rsid w:val="00BC71CD"/>
    <w:rsid w:val="00BE7750"/>
    <w:rsid w:val="00C01CBA"/>
    <w:rsid w:val="00C0671C"/>
    <w:rsid w:val="00C11C5A"/>
    <w:rsid w:val="00C27D94"/>
    <w:rsid w:val="00C371C6"/>
    <w:rsid w:val="00C376B9"/>
    <w:rsid w:val="00C649BD"/>
    <w:rsid w:val="00C67683"/>
    <w:rsid w:val="00C7105E"/>
    <w:rsid w:val="00C755E2"/>
    <w:rsid w:val="00C76C20"/>
    <w:rsid w:val="00C86C27"/>
    <w:rsid w:val="00C97B7B"/>
    <w:rsid w:val="00CB1EB3"/>
    <w:rsid w:val="00CC4295"/>
    <w:rsid w:val="00CD04B1"/>
    <w:rsid w:val="00CD0CB0"/>
    <w:rsid w:val="00CD73C1"/>
    <w:rsid w:val="00CE58CF"/>
    <w:rsid w:val="00CF1473"/>
    <w:rsid w:val="00CF3D53"/>
    <w:rsid w:val="00D018ED"/>
    <w:rsid w:val="00D04F22"/>
    <w:rsid w:val="00D05327"/>
    <w:rsid w:val="00D163A6"/>
    <w:rsid w:val="00D24419"/>
    <w:rsid w:val="00D25B1D"/>
    <w:rsid w:val="00D30DFC"/>
    <w:rsid w:val="00D367ED"/>
    <w:rsid w:val="00D40F9B"/>
    <w:rsid w:val="00D5022F"/>
    <w:rsid w:val="00D50F91"/>
    <w:rsid w:val="00D62532"/>
    <w:rsid w:val="00D62816"/>
    <w:rsid w:val="00D72AEF"/>
    <w:rsid w:val="00D7794D"/>
    <w:rsid w:val="00D80436"/>
    <w:rsid w:val="00D8561A"/>
    <w:rsid w:val="00D925F1"/>
    <w:rsid w:val="00DA163C"/>
    <w:rsid w:val="00DC060A"/>
    <w:rsid w:val="00DD1751"/>
    <w:rsid w:val="00DD356C"/>
    <w:rsid w:val="00DD60B8"/>
    <w:rsid w:val="00DE1C62"/>
    <w:rsid w:val="00DE29EE"/>
    <w:rsid w:val="00E010E9"/>
    <w:rsid w:val="00E07C4E"/>
    <w:rsid w:val="00E26A3B"/>
    <w:rsid w:val="00E271AE"/>
    <w:rsid w:val="00E378A4"/>
    <w:rsid w:val="00E4220E"/>
    <w:rsid w:val="00E71DE5"/>
    <w:rsid w:val="00E8196C"/>
    <w:rsid w:val="00E94899"/>
    <w:rsid w:val="00E97A74"/>
    <w:rsid w:val="00E97DD0"/>
    <w:rsid w:val="00EA1C36"/>
    <w:rsid w:val="00EB2182"/>
    <w:rsid w:val="00EB28E6"/>
    <w:rsid w:val="00ED053D"/>
    <w:rsid w:val="00EF2F73"/>
    <w:rsid w:val="00F15DAA"/>
    <w:rsid w:val="00F338CB"/>
    <w:rsid w:val="00F4379D"/>
    <w:rsid w:val="00F440F4"/>
    <w:rsid w:val="00F62B8A"/>
    <w:rsid w:val="00F672A7"/>
    <w:rsid w:val="00F73B5B"/>
    <w:rsid w:val="00F7656C"/>
    <w:rsid w:val="00F805D5"/>
    <w:rsid w:val="00F9722C"/>
    <w:rsid w:val="00FA1C81"/>
    <w:rsid w:val="00FA3D64"/>
    <w:rsid w:val="00FA5183"/>
    <w:rsid w:val="00FB4929"/>
    <w:rsid w:val="00FB6171"/>
    <w:rsid w:val="00FC6987"/>
    <w:rsid w:val="00FE0EF2"/>
    <w:rsid w:val="00FF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5E64"/>
  <w15:chartTrackingRefBased/>
  <w15:docId w15:val="{0EFC6243-9313-FB4A-B584-88A2D4AF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56"/>
    <w:pPr>
      <w:tabs>
        <w:tab w:val="center" w:pos="4513"/>
        <w:tab w:val="right" w:pos="9026"/>
      </w:tabs>
    </w:pPr>
  </w:style>
  <w:style w:type="character" w:customStyle="1" w:styleId="HeaderChar">
    <w:name w:val="Header Char"/>
    <w:basedOn w:val="DefaultParagraphFont"/>
    <w:link w:val="Header"/>
    <w:uiPriority w:val="99"/>
    <w:rsid w:val="00A27A56"/>
  </w:style>
  <w:style w:type="paragraph" w:styleId="Footer">
    <w:name w:val="footer"/>
    <w:basedOn w:val="Normal"/>
    <w:link w:val="FooterChar"/>
    <w:uiPriority w:val="99"/>
    <w:unhideWhenUsed/>
    <w:rsid w:val="00A27A56"/>
    <w:pPr>
      <w:tabs>
        <w:tab w:val="center" w:pos="4513"/>
        <w:tab w:val="right" w:pos="9026"/>
      </w:tabs>
    </w:pPr>
  </w:style>
  <w:style w:type="character" w:customStyle="1" w:styleId="FooterChar">
    <w:name w:val="Footer Char"/>
    <w:basedOn w:val="DefaultParagraphFont"/>
    <w:link w:val="Footer"/>
    <w:uiPriority w:val="99"/>
    <w:rsid w:val="00A27A56"/>
  </w:style>
  <w:style w:type="table" w:styleId="TableGrid">
    <w:name w:val="Table Grid"/>
    <w:basedOn w:val="TableNormal"/>
    <w:uiPriority w:val="39"/>
    <w:rsid w:val="00A8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AEF"/>
    <w:pPr>
      <w:ind w:left="720"/>
      <w:contextualSpacing/>
    </w:pPr>
  </w:style>
  <w:style w:type="character" w:styleId="Hyperlink">
    <w:name w:val="Hyperlink"/>
    <w:basedOn w:val="DefaultParagraphFont"/>
    <w:uiPriority w:val="99"/>
    <w:unhideWhenUsed/>
    <w:rsid w:val="00892E7D"/>
    <w:rPr>
      <w:color w:val="0563C1" w:themeColor="hyperlink"/>
      <w:u w:val="single"/>
    </w:rPr>
  </w:style>
  <w:style w:type="character" w:styleId="UnresolvedMention">
    <w:name w:val="Unresolved Mention"/>
    <w:basedOn w:val="DefaultParagraphFont"/>
    <w:uiPriority w:val="99"/>
    <w:semiHidden/>
    <w:unhideWhenUsed/>
    <w:rsid w:val="00892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ke@arker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fieldqualificatio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ke@arkergroup.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raining@arker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acd42c-04a9-453b-8a23-d6a867d5c3a1" xsi:nil="true"/>
    <lcf76f155ced4ddcb4097134ff3c332f xmlns="33413b41-dd33-417e-95dd-07dfb33738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4F90DE0150B4CA0F071280138C453" ma:contentTypeVersion="11" ma:contentTypeDescription="Create a new document." ma:contentTypeScope="" ma:versionID="74b5f841b9fff2187dcef5c67aa24b5e">
  <xsd:schema xmlns:xsd="http://www.w3.org/2001/XMLSchema" xmlns:xs="http://www.w3.org/2001/XMLSchema" xmlns:p="http://schemas.microsoft.com/office/2006/metadata/properties" xmlns:ns2="33413b41-dd33-417e-95dd-07dfb337386b" xmlns:ns3="a8acd42c-04a9-453b-8a23-d6a867d5c3a1" targetNamespace="http://schemas.microsoft.com/office/2006/metadata/properties" ma:root="true" ma:fieldsID="2365e6e7f7810c4723b7bd1ee286d487" ns2:_="" ns3:_="">
    <xsd:import namespace="33413b41-dd33-417e-95dd-07dfb337386b"/>
    <xsd:import namespace="a8acd42c-04a9-453b-8a23-d6a867d5c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13b41-dd33-417e-95dd-07dfb337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9efc2a-8c9f-494f-a44f-6c03859382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cd42c-04a9-453b-8a23-d6a867d5c3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aa68179-70ce-48a1-a2c2-8d3f66a1a95f}" ma:internalName="TaxCatchAll" ma:showField="CatchAllData" ma:web="a8acd42c-04a9-453b-8a23-d6a867d5c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4D011-332D-424B-AF8C-138B2E6DA57A}">
  <ds:schemaRefs>
    <ds:schemaRef ds:uri="http://schemas.microsoft.com/office/2006/metadata/properties"/>
    <ds:schemaRef ds:uri="http://schemas.microsoft.com/office/infopath/2007/PartnerControls"/>
    <ds:schemaRef ds:uri="a8acd42c-04a9-453b-8a23-d6a867d5c3a1"/>
    <ds:schemaRef ds:uri="e4b00be5-ad8d-49ba-a8a4-df3af5de3881"/>
  </ds:schemaRefs>
</ds:datastoreItem>
</file>

<file path=customXml/itemProps2.xml><?xml version="1.0" encoding="utf-8"?>
<ds:datastoreItem xmlns:ds="http://schemas.openxmlformats.org/officeDocument/2006/customXml" ds:itemID="{1E36824F-761B-441A-9B4F-8BCB202DE588}"/>
</file>

<file path=customXml/itemProps3.xml><?xml version="1.0" encoding="utf-8"?>
<ds:datastoreItem xmlns:ds="http://schemas.openxmlformats.org/officeDocument/2006/customXml" ds:itemID="{87113286-BEAE-482E-BCF2-AF0E0DE9A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1525</Words>
  <Characters>8699</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Barker</dc:creator>
  <cp:keywords/>
  <dc:description/>
  <cp:lastModifiedBy>Office</cp:lastModifiedBy>
  <cp:revision>7</cp:revision>
  <dcterms:created xsi:type="dcterms:W3CDTF">2025-07-01T16:31:00Z</dcterms:created>
  <dcterms:modified xsi:type="dcterms:W3CDTF">2025-08-20T15:18:00Z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0x01010092A4F90DE0150B4CA0F071280138C453</vt:lpwstr>
  </property>
  <property fmtid="{D5CDD505-2E9C-101B-9397-08002B2CF9AE}" pid="3" name="MediaServiceImageTags">
    <vt:lpwstr/>
  </property>
</Properties>
</file>