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lb8mgff5rfl4" w:id="0"/>
      <w:bookmarkEnd w:id="0"/>
      <w:r w:rsidDel="00000000" w:rsidR="00000000" w:rsidRPr="00000000">
        <w:rPr>
          <w:rtl w:val="0"/>
        </w:rPr>
        <w:t xml:space="preserve">Materials 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Mary Dillon</w:t>
      </w:r>
    </w:p>
    <w:p w:rsidR="00000000" w:rsidDel="00000000" w:rsidP="00000000" w:rsidRDefault="00000000" w:rsidRPr="00000000" w14:paraId="00000003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marydillonbotanicalart@gmail.com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For best results, the following materials are recommended.</w:t>
      </w:r>
    </w:p>
    <w:p w:rsidR="00000000" w:rsidDel="00000000" w:rsidP="00000000" w:rsidRDefault="00000000" w:rsidRPr="00000000" w14:paraId="00000006">
      <w:pPr>
        <w:rPr/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rPr/>
      </w:pPr>
      <w:bookmarkStart w:colFirst="0" w:colLast="0" w:name="_heading=h.v8oo335c6gy4" w:id="1"/>
      <w:bookmarkEnd w:id="1"/>
      <w:r w:rsidDel="00000000" w:rsidR="00000000" w:rsidRPr="00000000">
        <w:rPr>
          <w:rtl w:val="0"/>
        </w:rPr>
        <w:t xml:space="preserve">Paints: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All are </w:t>
      </w:r>
      <w:r w:rsidDel="00000000" w:rsidR="00000000" w:rsidRPr="00000000">
        <w:rPr>
          <w:b w:val="1"/>
          <w:bCs w:val="1"/>
          <w:rtl w:val="0"/>
        </w:rPr>
        <w:t xml:space="preserve">artist quality, transparent colors</w:t>
      </w:r>
      <w:r w:rsidDel="00000000" w:rsidR="00000000" w:rsidRPr="00000000">
        <w:rPr>
          <w:rtl w:val="0"/>
        </w:rPr>
        <w:t xml:space="preserve">, Winsor and Newton or the equivalent (eg. Sennelier, Schminke, or Daniel Smith). Pigment numbers are given if you’d like to find the equivalent colour in other brands.</w:t>
      </w:r>
    </w:p>
    <w:p w:rsidR="00000000" w:rsidDel="00000000" w:rsidP="00000000" w:rsidRDefault="00000000" w:rsidRPr="00000000" w14:paraId="00000009">
      <w:pPr>
        <w:pStyle w:val="Heading4"/>
        <w:rPr/>
      </w:pPr>
      <w:bookmarkStart w:colFirst="0" w:colLast="0" w:name="_heading=h.exg97rpvsexd" w:id="2"/>
      <w:bookmarkEnd w:id="2"/>
      <w:r w:rsidDel="00000000" w:rsidR="00000000" w:rsidRPr="00000000">
        <w:rPr>
          <w:rtl w:val="0"/>
        </w:rPr>
        <w:t xml:space="preserve">Sennelier or Daniel Smith: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color w:val="3c78d8"/>
        </w:rPr>
      </w:pPr>
      <w:r w:rsidDel="00000000" w:rsidR="00000000" w:rsidRPr="00000000">
        <w:rPr>
          <w:color w:val="3c78d8"/>
          <w:rtl w:val="0"/>
        </w:rPr>
        <w:t xml:space="preserve">Sennelier Yellow Light PY153</w:t>
      </w:r>
    </w:p>
    <w:p w:rsidR="00000000" w:rsidDel="00000000" w:rsidP="00000000" w:rsidRDefault="00000000" w:rsidRPr="00000000" w14:paraId="0000000B">
      <w:pPr>
        <w:pStyle w:val="Heading4"/>
        <w:rPr/>
      </w:pPr>
      <w:bookmarkStart w:colFirst="0" w:colLast="0" w:name="_heading=h.f2ryf74tizho" w:id="3"/>
      <w:bookmarkEnd w:id="3"/>
      <w:r w:rsidDel="00000000" w:rsidR="00000000" w:rsidRPr="00000000">
        <w:rPr>
          <w:rtl w:val="0"/>
        </w:rPr>
        <w:t xml:space="preserve">Winsor and Newton: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color w:val="3c78d8"/>
        </w:rPr>
      </w:pPr>
      <w:r w:rsidDel="00000000" w:rsidR="00000000" w:rsidRPr="00000000">
        <w:rPr>
          <w:color w:val="3c78d8"/>
          <w:rtl w:val="0"/>
        </w:rPr>
        <w:t xml:space="preserve">Indian Yellow.PO 62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color w:val="3c78d8"/>
        </w:rPr>
      </w:pPr>
      <w:r w:rsidDel="00000000" w:rsidR="00000000" w:rsidRPr="00000000">
        <w:rPr>
          <w:color w:val="3c78d8"/>
          <w:rtl w:val="0"/>
        </w:rPr>
        <w:t xml:space="preserve">Quinacridone red PR 209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color w:val="3c78d8"/>
        </w:rPr>
      </w:pPr>
      <w:r w:rsidDel="00000000" w:rsidR="00000000" w:rsidRPr="00000000">
        <w:rPr>
          <w:color w:val="3c78d8"/>
          <w:rtl w:val="0"/>
        </w:rPr>
        <w:t xml:space="preserve">Permanent Rose. PV 19.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color w:val="3c78d8"/>
        </w:rPr>
      </w:pPr>
      <w:r w:rsidDel="00000000" w:rsidR="00000000" w:rsidRPr="00000000">
        <w:rPr>
          <w:color w:val="3c78d8"/>
          <w:rtl w:val="0"/>
        </w:rPr>
        <w:t xml:space="preserve">Winsor blue red shade. PB 15.  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color w:val="3c78d8"/>
        </w:rPr>
      </w:pPr>
      <w:r w:rsidDel="00000000" w:rsidR="00000000" w:rsidRPr="00000000">
        <w:rPr>
          <w:color w:val="3c78d8"/>
          <w:rtl w:val="0"/>
        </w:rPr>
        <w:t xml:space="preserve">Winsor blue green shade. PB 15. </w:t>
      </w:r>
    </w:p>
    <w:p w:rsidR="00000000" w:rsidDel="00000000" w:rsidP="00000000" w:rsidRDefault="00000000" w:rsidRPr="00000000" w14:paraId="00000011">
      <w:pPr>
        <w:rPr>
          <w:color w:val="3c78d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heading=h.u43yz1tup84g" w:id="4"/>
      <w:bookmarkEnd w:id="4"/>
      <w:r w:rsidDel="00000000" w:rsidR="00000000" w:rsidRPr="00000000">
        <w:rPr>
          <w:rtl w:val="0"/>
        </w:rPr>
        <w:t xml:space="preserve">Brushes: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Good quality watercolour brushes 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1 large </w:t>
        <w:br w:type="textWrapping"/>
        <w:t xml:space="preserve">(No. 4, or No. 5, or No. 6)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 medium </w:t>
        <w:br w:type="textWrapping"/>
        <w:t xml:space="preserve">(No. 2, or No. 3)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 small miniature or spotter </w:t>
        <w:br w:type="textWrapping"/>
        <w:t xml:space="preserve">(No. 1, or No. 0)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rPr/>
      </w:pPr>
      <w:bookmarkStart w:colFirst="0" w:colLast="0" w:name="_heading=h.wazpzhjzspho" w:id="5"/>
      <w:bookmarkEnd w:id="5"/>
      <w:r w:rsidDel="00000000" w:rsidR="00000000" w:rsidRPr="00000000">
        <w:rPr>
          <w:rtl w:val="0"/>
        </w:rPr>
        <w:t xml:space="preserve">Paper: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Good quality Hot Pressed high white or extra white </w:t>
      </w:r>
      <w:r w:rsidDel="00000000" w:rsidR="00000000" w:rsidRPr="00000000">
        <w:rPr>
          <w:b w:val="1"/>
          <w:bCs w:val="1"/>
          <w:rtl w:val="0"/>
        </w:rPr>
        <w:t xml:space="preserve">640 gsm </w:t>
      </w:r>
      <w:r w:rsidDel="00000000" w:rsidR="00000000" w:rsidRPr="00000000">
        <w:rPr>
          <w:rtl w:val="0"/>
        </w:rPr>
        <w:t xml:space="preserve">watercolor paper. </w:t>
        <w:br w:type="textWrapping"/>
        <w:t xml:space="preserve">eg. </w:t>
      </w:r>
      <w:r w:rsidDel="00000000" w:rsidR="00000000" w:rsidRPr="00000000">
        <w:rPr>
          <w:b w:val="1"/>
          <w:bCs w:val="1"/>
          <w:rtl w:val="0"/>
        </w:rPr>
        <w:t xml:space="preserve">Fabriano, Arches, or Saunders Waterford 300 lbs  (640 gsm)  high white or extra white, A 3 size  sheet.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A3 (12” x 16 “) Sketch pad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A4 Tracing paper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rPr/>
      </w:pPr>
      <w:bookmarkStart w:colFirst="0" w:colLast="0" w:name="_heading=h.as58bgse83mr" w:id="6"/>
      <w:bookmarkEnd w:id="6"/>
      <w:r w:rsidDel="00000000" w:rsidR="00000000" w:rsidRPr="00000000">
        <w:rPr>
          <w:rtl w:val="0"/>
        </w:rPr>
        <w:t xml:space="preserve">Sundry Materials: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Ceramic plate as a mixing palette and some small saucers or dishes for mixing paint.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 portable light </w:t>
      </w: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  <w:t xml:space="preserve">(Ott light for example)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Magnifier 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Dividers 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Pencils - 2H, HB, and 2B 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Pencil sharpener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Soft eraser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Ruler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Soft cloths for cleaning brushes 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Jars for specimens and water</w:t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rydillonbotanicalar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dh/rZSeOfZd6h6+hy/0u16FYPw==">CgMxLjAyDmgubGI4bWdmZjVyZmw0Mg5oLnY4b28zMzVjNmd5NDIOaC5leGc5N3JwdnNleGQyDmguZjJyeWY3NHRpemhvMg5oLnU0M3l6MXR1cDg0ZzIOaC53YXpwemhqenNwaG8yDmguYXM1OGJnc2U4M21yOAByITFYN1g4Q281Nk5hWlEwdHRyVk9abE1zUkd6VHFnclUzOA==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